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C" w:rsidRDefault="00952CBC" w:rsidP="00AB7622">
      <w:pPr>
        <w:jc w:val="right"/>
        <w:rPr>
          <w:rFonts w:ascii="Arial" w:hAnsi="Arial" w:cs="Arial"/>
        </w:rPr>
      </w:pPr>
    </w:p>
    <w:p w:rsidR="00952CBC" w:rsidRPr="00DD3010" w:rsidRDefault="00952CBC" w:rsidP="00AB76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7622" w:rsidRPr="00952CBC" w:rsidRDefault="00206623" w:rsidP="00952CBC">
      <w:pPr>
        <w:pStyle w:val="Titel"/>
        <w:rPr>
          <w:sz w:val="44"/>
        </w:rPr>
      </w:pPr>
      <w:r>
        <w:rPr>
          <w:sz w:val="44"/>
        </w:rPr>
        <w:t>Bilag 4</w:t>
      </w:r>
      <w:r w:rsidR="004C35FD">
        <w:rPr>
          <w:sz w:val="44"/>
        </w:rPr>
        <w:t>:</w:t>
      </w:r>
      <w:r w:rsidR="00AB7622" w:rsidRPr="00952CBC">
        <w:rPr>
          <w:sz w:val="44"/>
        </w:rPr>
        <w:t xml:space="preserve"> </w:t>
      </w:r>
      <w:r w:rsidR="00952CBC" w:rsidRPr="00952CBC">
        <w:rPr>
          <w:sz w:val="44"/>
        </w:rPr>
        <w:t xml:space="preserve">Cover til håndtering af </w:t>
      </w:r>
      <w:r w:rsidR="00AB7622" w:rsidRPr="00952CBC">
        <w:rPr>
          <w:sz w:val="44"/>
        </w:rPr>
        <w:t xml:space="preserve">aktuelle </w:t>
      </w:r>
      <w:r w:rsidR="00952CBC" w:rsidRPr="00952CBC">
        <w:rPr>
          <w:sz w:val="44"/>
        </w:rPr>
        <w:t xml:space="preserve">emner fra </w:t>
      </w:r>
      <w:r w:rsidR="00AB7622" w:rsidRPr="00952CBC">
        <w:rPr>
          <w:sz w:val="44"/>
        </w:rPr>
        <w:t>risikologgen.</w:t>
      </w:r>
    </w:p>
    <w:p w:rsidR="004C35FD" w:rsidRPr="004C35FD" w:rsidRDefault="004C35FD" w:rsidP="004C35FD">
      <w:pPr>
        <w:rPr>
          <w:rFonts w:ascii="Arial" w:hAnsi="Arial" w:cs="Arial"/>
          <w:sz w:val="28"/>
        </w:rPr>
      </w:pPr>
      <w:r w:rsidRPr="004C35FD">
        <w:rPr>
          <w:rFonts w:ascii="Arial" w:hAnsi="Arial" w:cs="Arial"/>
          <w:sz w:val="28"/>
        </w:rPr>
        <w:t>Til drøftelse af styregruppen for Ejendomsdataprogrammet på møde den 20. juni 2013</w:t>
      </w:r>
    </w:p>
    <w:p w:rsidR="00952CBC" w:rsidRPr="00952CBC" w:rsidRDefault="004C35FD" w:rsidP="00952CBC">
      <w:pPr>
        <w:pStyle w:val="Overskrift1"/>
      </w:pPr>
      <w:r>
        <w:t>In</w:t>
      </w:r>
      <w:r w:rsidR="001F1E58">
        <w:t>troduktion</w:t>
      </w:r>
    </w:p>
    <w:p w:rsidR="001F1E58" w:rsidRDefault="00E62DC1" w:rsidP="004C35FD">
      <w:r>
        <w:t>E</w:t>
      </w:r>
      <w:r w:rsidR="004C35FD">
        <w:t xml:space="preserve">jendomsdataprogrammet </w:t>
      </w:r>
      <w:r>
        <w:t>har identificeret</w:t>
      </w:r>
      <w:r w:rsidR="00D723E1">
        <w:t xml:space="preserve"> en række</w:t>
      </w:r>
      <w:r>
        <w:t xml:space="preserve"> risici, som har tværgående betydning for delprogrammets projekter. Disse risici er analyseret og beskrevet i overensstemmelse med Statens Projektmodels standard for risikohåndtering. </w:t>
      </w:r>
      <w:r w:rsidR="001F1E58">
        <w:t xml:space="preserve">En samlet oversigt over delprogrammets tværgående risici er gengivet i bilag </w:t>
      </w:r>
      <w:r w:rsidR="00D723E1">
        <w:t>4</w:t>
      </w:r>
      <w:r w:rsidR="001F1E58">
        <w:t xml:space="preserve"> (GD1 Risikoanalyse v1.0)</w:t>
      </w:r>
      <w:r w:rsidR="00D723E1">
        <w:t>.</w:t>
      </w:r>
    </w:p>
    <w:p w:rsidR="00704977" w:rsidRDefault="00704977" w:rsidP="00704977">
      <w:pPr>
        <w:pStyle w:val="Overskrift1"/>
      </w:pPr>
      <w:r>
        <w:t>Styregruppens stillingtagen til aktuelle risici</w:t>
      </w:r>
    </w:p>
    <w:p w:rsidR="005F36C8" w:rsidRDefault="001F1E58" w:rsidP="004C35FD">
      <w:r>
        <w:t xml:space="preserve">I samarbejde med delprogrammets projekter vedligeholder programledelsen den fælles risikoanalyse. </w:t>
      </w:r>
      <w:r w:rsidR="00BB0F69">
        <w:t xml:space="preserve"> </w:t>
      </w:r>
    </w:p>
    <w:p w:rsidR="005F36C8" w:rsidRDefault="005F36C8" w:rsidP="004C35FD"/>
    <w:p w:rsidR="00704977" w:rsidRDefault="00BB0F69" w:rsidP="001F1E58">
      <w:r>
        <w:t xml:space="preserve">Som en del af den løbende opfølgning </w:t>
      </w:r>
      <w:r w:rsidR="00704977">
        <w:t>på risikoanalysen</w:t>
      </w:r>
      <w:r>
        <w:t xml:space="preserve"> fremlægges til drøftelse i styregruppen</w:t>
      </w:r>
      <w:r w:rsidR="00704977">
        <w:t xml:space="preserve"> et udvalg af</w:t>
      </w:r>
      <w:r>
        <w:t xml:space="preserve"> risi</w:t>
      </w:r>
      <w:r w:rsidR="00704977">
        <w:t xml:space="preserve">kologgens </w:t>
      </w:r>
      <w:r w:rsidR="0073042D">
        <w:t>risikopunkter</w:t>
      </w:r>
      <w:r>
        <w:t>, som efter programledelsens vurdering er aktuelle og relevante</w:t>
      </w:r>
      <w:r w:rsidR="00704977">
        <w:t xml:space="preserve"> i forhold til </w:t>
      </w:r>
      <w:r>
        <w:t>styregruppen.</w:t>
      </w:r>
      <w:bookmarkStart w:id="0" w:name="_GoBack"/>
      <w:bookmarkEnd w:id="0"/>
    </w:p>
    <w:p w:rsidR="00F12BB8" w:rsidRDefault="00F12BB8" w:rsidP="00F12BB8">
      <w:pPr>
        <w:pStyle w:val="Overskrift1"/>
      </w:pPr>
      <w:r>
        <w:t>Indstilling</w:t>
      </w:r>
    </w:p>
    <w:p w:rsidR="00952CBC" w:rsidRPr="00DD3010" w:rsidRDefault="00704977" w:rsidP="00D55FA1">
      <w:pPr>
        <w:rPr>
          <w:rFonts w:ascii="Arial" w:hAnsi="Arial" w:cs="Arial"/>
          <w:sz w:val="28"/>
          <w:szCs w:val="28"/>
        </w:rPr>
      </w:pPr>
      <w:r>
        <w:t>Det indstilles at styregruppen tilslutter sig nedenstående forslag til håndtering af aktuelle risici.</w:t>
      </w:r>
    </w:p>
    <w:p w:rsidR="00387BB3" w:rsidRDefault="00952CBC" w:rsidP="00952CBC">
      <w:pPr>
        <w:pStyle w:val="Overskrift1"/>
      </w:pPr>
      <w:r w:rsidRPr="00952CBC">
        <w:t>Aktuelle risici</w:t>
      </w:r>
    </w:p>
    <w:p w:rsidR="00952CBC" w:rsidRPr="00952CBC" w:rsidRDefault="00952CBC" w:rsidP="00D55FA1">
      <w:pPr>
        <w:rPr>
          <w:b/>
          <w:i/>
          <w:color w:val="000000"/>
          <w:sz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909"/>
        <w:gridCol w:w="4313"/>
        <w:gridCol w:w="4232"/>
      </w:tblGrid>
      <w:tr w:rsidR="00387BB3" w:rsidRPr="00D55FA1" w:rsidTr="00997C2F"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22" w:rsidRPr="00DD3010" w:rsidRDefault="0073042D" w:rsidP="0073042D">
            <w:pPr>
              <w:ind w:right="-401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RisikoID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j</w:t>
            </w:r>
            <w:r w:rsidR="00AB7622" w:rsidRPr="00997C2F">
              <w:rPr>
                <w:color w:val="000000"/>
                <w:szCs w:val="24"/>
              </w:rPr>
              <w:t xml:space="preserve">f. </w:t>
            </w:r>
            <w:proofErr w:type="spellStart"/>
            <w:r w:rsidR="00AB7622" w:rsidRPr="00997C2F">
              <w:rPr>
                <w:color w:val="000000"/>
                <w:szCs w:val="24"/>
              </w:rPr>
              <w:t>risikologg</w:t>
            </w:r>
            <w:proofErr w:type="spellEnd"/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3" w:rsidRPr="00DD3010" w:rsidRDefault="00387BB3">
            <w:pPr>
              <w:rPr>
                <w:b/>
                <w:sz w:val="24"/>
                <w:szCs w:val="24"/>
              </w:rPr>
            </w:pPr>
            <w:r w:rsidRPr="00DD3010">
              <w:rPr>
                <w:b/>
                <w:color w:val="000000"/>
                <w:sz w:val="24"/>
                <w:szCs w:val="24"/>
              </w:rPr>
              <w:t xml:space="preserve">Problem 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3" w:rsidRPr="00DD3010" w:rsidRDefault="00387BB3">
            <w:pPr>
              <w:rPr>
                <w:b/>
                <w:sz w:val="24"/>
                <w:szCs w:val="24"/>
              </w:rPr>
            </w:pPr>
            <w:r w:rsidRPr="00DD3010">
              <w:rPr>
                <w:b/>
                <w:color w:val="000000"/>
                <w:sz w:val="24"/>
                <w:szCs w:val="24"/>
              </w:rPr>
              <w:t>Konsekvens</w:t>
            </w:r>
          </w:p>
        </w:tc>
        <w:tc>
          <w:tcPr>
            <w:tcW w:w="1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BB3" w:rsidRPr="00DD3010" w:rsidRDefault="00AB6FE8">
            <w:pPr>
              <w:rPr>
                <w:b/>
                <w:color w:val="000000"/>
                <w:sz w:val="24"/>
                <w:szCs w:val="24"/>
              </w:rPr>
            </w:pPr>
            <w:r w:rsidRPr="00DD3010">
              <w:rPr>
                <w:b/>
                <w:color w:val="000000"/>
                <w:sz w:val="24"/>
                <w:szCs w:val="24"/>
              </w:rPr>
              <w:t xml:space="preserve">Forslag til </w:t>
            </w:r>
            <w:r w:rsidR="00952CBC">
              <w:rPr>
                <w:b/>
                <w:color w:val="000000"/>
                <w:sz w:val="24"/>
                <w:szCs w:val="24"/>
              </w:rPr>
              <w:t>håndtering af problem</w:t>
            </w:r>
          </w:p>
          <w:p w:rsidR="00DC6CC0" w:rsidRPr="00E91801" w:rsidRDefault="00DC6CC0" w:rsidP="00671FC1">
            <w:pPr>
              <w:rPr>
                <w:b/>
                <w:color w:val="000000"/>
                <w:sz w:val="18"/>
                <w:szCs w:val="20"/>
              </w:rPr>
            </w:pPr>
          </w:p>
        </w:tc>
      </w:tr>
      <w:tr w:rsidR="0099013E" w:rsidRPr="00D55FA1" w:rsidTr="00997C2F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Pr="00206623" w:rsidRDefault="00206623" w:rsidP="00206623">
            <w:pPr>
              <w:ind w:right="-401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99013E" w:rsidP="00537E12">
            <w:pPr>
              <w:rPr>
                <w:b/>
                <w:color w:val="000000"/>
                <w:sz w:val="18"/>
                <w:szCs w:val="20"/>
              </w:rPr>
            </w:pPr>
            <w:r w:rsidRPr="0099013E">
              <w:rPr>
                <w:b/>
                <w:color w:val="000000"/>
                <w:sz w:val="18"/>
                <w:szCs w:val="20"/>
              </w:rPr>
              <w:t xml:space="preserve">Datafordelerens implementering, KOMPLEKS forsinkelse: </w:t>
            </w:r>
          </w:p>
          <w:p w:rsidR="0099013E" w:rsidRDefault="0099013E" w:rsidP="0099013E">
            <w:pPr>
              <w:rPr>
                <w:color w:val="000000"/>
                <w:sz w:val="18"/>
                <w:szCs w:val="20"/>
              </w:rPr>
            </w:pPr>
            <w:r w:rsidRPr="0099013E">
              <w:rPr>
                <w:color w:val="000000"/>
                <w:sz w:val="18"/>
                <w:szCs w:val="20"/>
              </w:rPr>
              <w:t xml:space="preserve">Delprogram 7, datafordeleren (GD7) </w:t>
            </w:r>
            <w:r>
              <w:rPr>
                <w:color w:val="000000"/>
                <w:sz w:val="18"/>
                <w:szCs w:val="20"/>
              </w:rPr>
              <w:t xml:space="preserve">har meddelt en ny tidsplan for etablering og anskaffelse af den fællesoffentlige datafordeler. Dette medfører at idriftsættelsen af datafordeleren </w:t>
            </w:r>
            <w:r w:rsidR="00304F80">
              <w:rPr>
                <w:color w:val="000000"/>
                <w:sz w:val="18"/>
                <w:szCs w:val="20"/>
              </w:rPr>
              <w:t xml:space="preserve">forventningsvis </w:t>
            </w:r>
            <w:r>
              <w:rPr>
                <w:color w:val="000000"/>
                <w:sz w:val="18"/>
                <w:szCs w:val="20"/>
              </w:rPr>
              <w:t xml:space="preserve">bliver 12 måneder senere end </w:t>
            </w:r>
            <w:r w:rsidR="00304F80">
              <w:rPr>
                <w:color w:val="000000"/>
                <w:sz w:val="18"/>
                <w:szCs w:val="20"/>
              </w:rPr>
              <w:t xml:space="preserve">antaget </w:t>
            </w:r>
            <w:r>
              <w:rPr>
                <w:color w:val="000000"/>
                <w:sz w:val="18"/>
                <w:szCs w:val="20"/>
              </w:rPr>
              <w:t xml:space="preserve">ved </w:t>
            </w:r>
            <w:r>
              <w:rPr>
                <w:color w:val="000000"/>
                <w:sz w:val="18"/>
                <w:szCs w:val="20"/>
              </w:rPr>
              <w:lastRenderedPageBreak/>
              <w:t xml:space="preserve">udarbejdelse af grunddataaftalerne. </w:t>
            </w:r>
          </w:p>
          <w:p w:rsidR="0099013E" w:rsidRPr="0099013E" w:rsidRDefault="0099013E" w:rsidP="0099013E">
            <w:pPr>
              <w:rPr>
                <w:color w:val="000000"/>
                <w:sz w:val="18"/>
                <w:szCs w:val="20"/>
              </w:rPr>
            </w:pPr>
            <w:r w:rsidRPr="0099013E">
              <w:rPr>
                <w:color w:val="000000"/>
                <w:sz w:val="18"/>
                <w:szCs w:val="20"/>
              </w:rPr>
              <w:t xml:space="preserve">Tidsplanen er et dialogemne i forhandlingerne med leverandørerne og fastlægges derfor endeligt ved indgåelse af kontrakten med leverandøren. </w:t>
            </w:r>
            <w:r w:rsidR="00EE2CBC">
              <w:rPr>
                <w:color w:val="000000"/>
                <w:sz w:val="18"/>
                <w:szCs w:val="20"/>
              </w:rPr>
              <w:t>Kontrakten forventes indgået 8. maj 2014.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Pr="00E91801" w:rsidRDefault="00304F80" w:rsidP="00947383">
            <w:pPr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Ejendomsdataprogrammet </w:t>
            </w:r>
            <w:r w:rsidRPr="00304F80">
              <w:rPr>
                <w:color w:val="000000"/>
                <w:sz w:val="18"/>
                <w:szCs w:val="20"/>
              </w:rPr>
              <w:t>kan ikke rettidigt implementere de nødvendige services (BBR, Ma</w:t>
            </w:r>
            <w:r>
              <w:rPr>
                <w:color w:val="000000"/>
                <w:sz w:val="18"/>
                <w:szCs w:val="20"/>
              </w:rPr>
              <w:t xml:space="preserve">trikel, Ejerfortegnelse, AWS). Tilsvarende kan SKAT heller ikke udstille vurderingsansættelserne til brug for den kommunale ejendomsskatteberegning. </w:t>
            </w:r>
            <w:r w:rsidR="00947383">
              <w:rPr>
                <w:color w:val="000000"/>
                <w:sz w:val="18"/>
                <w:szCs w:val="20"/>
              </w:rPr>
              <w:t>En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="00947383">
              <w:rPr>
                <w:color w:val="000000"/>
                <w:sz w:val="18"/>
                <w:szCs w:val="20"/>
              </w:rPr>
              <w:t xml:space="preserve">længere </w:t>
            </w:r>
            <w:r>
              <w:rPr>
                <w:color w:val="000000"/>
                <w:sz w:val="18"/>
                <w:szCs w:val="20"/>
              </w:rPr>
              <w:t>forsinkelse af</w:t>
            </w:r>
            <w:r w:rsidR="00947383">
              <w:rPr>
                <w:color w:val="000000"/>
                <w:sz w:val="18"/>
                <w:szCs w:val="20"/>
              </w:rPr>
              <w:t xml:space="preserve"> datafordeleren kan nødvendiggøre at</w:t>
            </w:r>
            <w:r w:rsidRPr="00304F80">
              <w:rPr>
                <w:color w:val="000000"/>
                <w:sz w:val="18"/>
                <w:szCs w:val="20"/>
              </w:rPr>
              <w:t xml:space="preserve"> services skal etableres udenfor datafordeleren.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622" w:rsidRDefault="00AB7622" w:rsidP="00304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Problemstillingen er behandlet af grunddatabestyrelsen og beskrevet i notits om ny tidsplan for datafordeleren (</w:t>
            </w:r>
            <w:r w:rsidRPr="00952CBC">
              <w:rPr>
                <w:i/>
                <w:color w:val="000000"/>
                <w:sz w:val="18"/>
                <w:szCs w:val="20"/>
              </w:rPr>
              <w:t>dagsordenens bilag 2</w:t>
            </w:r>
            <w:r>
              <w:rPr>
                <w:color w:val="000000"/>
                <w:sz w:val="18"/>
                <w:szCs w:val="20"/>
              </w:rPr>
              <w:t>)</w:t>
            </w:r>
          </w:p>
          <w:p w:rsidR="00AB7622" w:rsidRDefault="00AB7622" w:rsidP="00304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947383" w:rsidRDefault="00947383" w:rsidP="00304F80">
            <w:pPr>
              <w:rPr>
                <w:color w:val="000000"/>
                <w:sz w:val="18"/>
                <w:szCs w:val="20"/>
              </w:rPr>
            </w:pPr>
            <w:r w:rsidRPr="00947383">
              <w:rPr>
                <w:color w:val="000000"/>
                <w:sz w:val="18"/>
                <w:szCs w:val="20"/>
              </w:rPr>
              <w:t xml:space="preserve">Ejendomsdataprogrammets fælles implementeringsplan beskriver </w:t>
            </w:r>
            <w:r w:rsidR="00304F80" w:rsidRPr="00947383">
              <w:rPr>
                <w:color w:val="000000"/>
                <w:sz w:val="18"/>
                <w:szCs w:val="20"/>
              </w:rPr>
              <w:t xml:space="preserve">hvordan ejendomsregistrene (Matriklen, BBR, </w:t>
            </w:r>
            <w:proofErr w:type="spellStart"/>
            <w:r w:rsidR="00304F80" w:rsidRPr="00947383">
              <w:rPr>
                <w:color w:val="000000"/>
                <w:sz w:val="18"/>
                <w:szCs w:val="20"/>
              </w:rPr>
              <w:t>Ejerfortegnelsen</w:t>
            </w:r>
            <w:proofErr w:type="spellEnd"/>
            <w:r w:rsidR="00304F80" w:rsidRPr="00947383">
              <w:rPr>
                <w:color w:val="000000"/>
                <w:sz w:val="18"/>
                <w:szCs w:val="20"/>
              </w:rPr>
              <w:t xml:space="preserve">) og udstilling af vurderingsansættelser </w:t>
            </w:r>
            <w:r w:rsidR="00304F80" w:rsidRPr="00947383">
              <w:rPr>
                <w:color w:val="000000"/>
                <w:sz w:val="18"/>
                <w:szCs w:val="20"/>
              </w:rPr>
              <w:lastRenderedPageBreak/>
              <w:t xml:space="preserve">med deres komplekse samspil (og afhængigheder hos fx ESR) implementeres på datafordeleren. </w:t>
            </w:r>
          </w:p>
          <w:p w:rsidR="00947383" w:rsidRDefault="00947383" w:rsidP="00304F80">
            <w:pPr>
              <w:rPr>
                <w:color w:val="000000"/>
                <w:sz w:val="18"/>
                <w:szCs w:val="20"/>
              </w:rPr>
            </w:pPr>
          </w:p>
          <w:p w:rsidR="00304F80" w:rsidRPr="00947383" w:rsidRDefault="00304F80" w:rsidP="00304F80">
            <w:pPr>
              <w:rPr>
                <w:color w:val="000000"/>
                <w:sz w:val="18"/>
                <w:szCs w:val="20"/>
              </w:rPr>
            </w:pPr>
            <w:r w:rsidRPr="00947383">
              <w:rPr>
                <w:color w:val="000000"/>
                <w:sz w:val="18"/>
                <w:szCs w:val="20"/>
              </w:rPr>
              <w:t>Den ændrede tidsplan for datafordeleren ændrer forudsætningerne for denne planlægning, herunder spørgsmålet om hvornår nye services kan implementeres på datafordeleren.</w:t>
            </w:r>
          </w:p>
          <w:p w:rsidR="00304F80" w:rsidRPr="00947383" w:rsidRDefault="00304F80" w:rsidP="00304F80">
            <w:pPr>
              <w:rPr>
                <w:color w:val="000000"/>
                <w:sz w:val="18"/>
                <w:szCs w:val="20"/>
              </w:rPr>
            </w:pPr>
          </w:p>
          <w:p w:rsidR="00304F80" w:rsidRDefault="00EE2CBC" w:rsidP="00304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I relation til ejendomsdataprogrammet er </w:t>
            </w:r>
            <w:r w:rsidR="00304F80" w:rsidRPr="00947383">
              <w:rPr>
                <w:color w:val="000000"/>
                <w:sz w:val="18"/>
                <w:szCs w:val="20"/>
              </w:rPr>
              <w:t>MBBL, GST og DIGST enige om, at der i efteråret 2013 udarbejdes en nærmere plan for samordnet implementering af ejendomsprogrammet på Datafordeleren. Som en del heraf vurderes om datafordelerens nye tidsplan har økonomiske kons</w:t>
            </w:r>
            <w:r w:rsidR="00AB7622">
              <w:rPr>
                <w:color w:val="000000"/>
                <w:sz w:val="18"/>
                <w:szCs w:val="20"/>
              </w:rPr>
              <w:t>ekvenser og håndteringen heraf.</w:t>
            </w:r>
          </w:p>
          <w:p w:rsidR="0099013E" w:rsidRPr="00E91801" w:rsidRDefault="0099013E" w:rsidP="00671FC1">
            <w:pPr>
              <w:rPr>
                <w:color w:val="A6A6A6" w:themeColor="background1" w:themeShade="A6"/>
                <w:sz w:val="18"/>
                <w:szCs w:val="20"/>
              </w:rPr>
            </w:pPr>
          </w:p>
        </w:tc>
      </w:tr>
      <w:tr w:rsidR="00C872E5" w:rsidRPr="00D55FA1" w:rsidTr="00997C2F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2E5" w:rsidRPr="00206623" w:rsidRDefault="00206623" w:rsidP="00206623">
            <w:pPr>
              <w:ind w:right="-401"/>
              <w:rPr>
                <w:sz w:val="18"/>
              </w:rPr>
            </w:pPr>
            <w:r>
              <w:rPr>
                <w:sz w:val="18"/>
              </w:rPr>
              <w:lastRenderedPageBreak/>
              <w:t>1.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8D" w:rsidRPr="00997C2F" w:rsidRDefault="007E2D8D" w:rsidP="00537E12">
            <w:pPr>
              <w:rPr>
                <w:b/>
                <w:sz w:val="18"/>
                <w:szCs w:val="20"/>
              </w:rPr>
            </w:pPr>
            <w:r w:rsidRPr="00997C2F">
              <w:rPr>
                <w:b/>
                <w:sz w:val="18"/>
                <w:szCs w:val="20"/>
              </w:rPr>
              <w:t>Budgetlov:</w:t>
            </w:r>
          </w:p>
          <w:p w:rsidR="00537E12" w:rsidRDefault="00671FC1" w:rsidP="00537E12">
            <w:pPr>
              <w:rPr>
                <w:sz w:val="18"/>
                <w:szCs w:val="20"/>
              </w:rPr>
            </w:pPr>
            <w:r w:rsidRPr="00997C2F">
              <w:rPr>
                <w:sz w:val="18"/>
                <w:szCs w:val="20"/>
              </w:rPr>
              <w:t xml:space="preserve">Ejendomsdataprogrammet har et flerårigt forløb og kan kun gennemføres </w:t>
            </w:r>
            <w:r w:rsidR="00DC6CC0" w:rsidRPr="00997C2F">
              <w:rPr>
                <w:sz w:val="18"/>
                <w:szCs w:val="20"/>
              </w:rPr>
              <w:t>i sin helhed</w:t>
            </w:r>
            <w:r w:rsidRPr="00997C2F">
              <w:rPr>
                <w:sz w:val="18"/>
                <w:szCs w:val="20"/>
              </w:rPr>
              <w:t>, hvis det er muligt at overfører budg</w:t>
            </w:r>
            <w:r w:rsidR="00C57DD4" w:rsidRPr="00997C2F">
              <w:rPr>
                <w:sz w:val="18"/>
                <w:szCs w:val="20"/>
              </w:rPr>
              <w:t>e</w:t>
            </w:r>
            <w:r w:rsidRPr="00997C2F">
              <w:rPr>
                <w:sz w:val="18"/>
                <w:szCs w:val="20"/>
              </w:rPr>
              <w:t xml:space="preserve">tposter mellem årene. Dette ser ud til at være vanskeligt/umuligt som følge af den nye </w:t>
            </w:r>
            <w:r w:rsidR="00537E12" w:rsidRPr="00997C2F">
              <w:rPr>
                <w:sz w:val="18"/>
                <w:szCs w:val="20"/>
              </w:rPr>
              <w:t>”budgetlov”.</w:t>
            </w:r>
          </w:p>
          <w:p w:rsidR="00997C2F" w:rsidRDefault="00997C2F" w:rsidP="00537E12">
            <w:pPr>
              <w:rPr>
                <w:sz w:val="18"/>
                <w:szCs w:val="20"/>
              </w:rPr>
            </w:pPr>
          </w:p>
          <w:p w:rsidR="00467E72" w:rsidRPr="00997C2F" w:rsidRDefault="00997C2F" w:rsidP="00467E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Den fælles implementeringsplan </w:t>
            </w:r>
            <w:r w:rsidR="00467E72">
              <w:rPr>
                <w:sz w:val="18"/>
                <w:szCs w:val="20"/>
              </w:rPr>
              <w:t>viser afvigelser fra de første tidsestimater for projektaktivetternes gennemførelse, hvilket kræver overførsel af midler mellem finansårene.</w:t>
            </w:r>
          </w:p>
          <w:p w:rsidR="00C872E5" w:rsidRPr="00997C2F" w:rsidRDefault="00C872E5" w:rsidP="00E33593">
            <w:pPr>
              <w:rPr>
                <w:sz w:val="18"/>
                <w:szCs w:val="20"/>
              </w:rPr>
            </w:pPr>
          </w:p>
          <w:p w:rsidR="002D128C" w:rsidRPr="00997C2F" w:rsidRDefault="002D128C" w:rsidP="00E33593">
            <w:pPr>
              <w:rPr>
                <w:sz w:val="18"/>
                <w:szCs w:val="2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4D" w:rsidRPr="00997C2F" w:rsidRDefault="00F4184A" w:rsidP="00EE2CBC">
            <w:pPr>
              <w:rPr>
                <w:sz w:val="18"/>
                <w:szCs w:val="20"/>
              </w:rPr>
            </w:pPr>
            <w:r w:rsidRPr="00997C2F">
              <w:rPr>
                <w:sz w:val="18"/>
                <w:szCs w:val="20"/>
              </w:rPr>
              <w:t>Hvis der ikke er muligt at overføre midler mellem finansårene vil væsentlige aktiviteter formentlig ikke kunne gennemgøres. Dette vil true hele ejendoms</w:t>
            </w:r>
            <w:r w:rsidR="00DC6CC0" w:rsidRPr="00997C2F">
              <w:rPr>
                <w:sz w:val="18"/>
                <w:szCs w:val="20"/>
              </w:rPr>
              <w:t>data</w:t>
            </w:r>
            <w:r w:rsidRPr="00997C2F">
              <w:rPr>
                <w:sz w:val="18"/>
                <w:szCs w:val="20"/>
              </w:rPr>
              <w:t>programmets gennemførelse</w:t>
            </w:r>
            <w:r w:rsidR="00DC6CC0" w:rsidRPr="00997C2F">
              <w:rPr>
                <w:sz w:val="18"/>
                <w:szCs w:val="20"/>
              </w:rPr>
              <w:t xml:space="preserve">. Problemet vil </w:t>
            </w:r>
            <w:r w:rsidRPr="00997C2F">
              <w:rPr>
                <w:sz w:val="18"/>
                <w:szCs w:val="20"/>
              </w:rPr>
              <w:t>manifestere sig ved overgangen til næste finansår/2014.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2E5" w:rsidRPr="00997C2F" w:rsidRDefault="00671FC1" w:rsidP="00671FC1">
            <w:pPr>
              <w:rPr>
                <w:sz w:val="18"/>
                <w:szCs w:val="20"/>
              </w:rPr>
            </w:pPr>
            <w:r w:rsidRPr="00997C2F">
              <w:rPr>
                <w:sz w:val="18"/>
                <w:szCs w:val="20"/>
              </w:rPr>
              <w:t xml:space="preserve">Ansvar for handling: </w:t>
            </w:r>
            <w:r w:rsidR="00EE2CBC">
              <w:rPr>
                <w:sz w:val="18"/>
                <w:szCs w:val="20"/>
              </w:rPr>
              <w:t>De enkelte myndigheder går i dialog med det relevante</w:t>
            </w:r>
            <w:proofErr w:type="gramStart"/>
            <w:r w:rsidR="00EE2CBC">
              <w:rPr>
                <w:sz w:val="18"/>
                <w:szCs w:val="20"/>
              </w:rPr>
              <w:t xml:space="preserve"> §-kontor</w:t>
            </w:r>
            <w:proofErr w:type="gramEnd"/>
            <w:r w:rsidR="00EE2CBC">
              <w:rPr>
                <w:sz w:val="18"/>
                <w:szCs w:val="20"/>
              </w:rPr>
              <w:t xml:space="preserve"> om evt. budgetoverførsler.</w:t>
            </w:r>
          </w:p>
          <w:p w:rsidR="00EE2CBC" w:rsidRPr="00997C2F" w:rsidRDefault="00EE2CBC" w:rsidP="000303A2">
            <w:pPr>
              <w:rPr>
                <w:b/>
                <w:sz w:val="18"/>
                <w:szCs w:val="20"/>
              </w:rPr>
            </w:pPr>
          </w:p>
        </w:tc>
      </w:tr>
    </w:tbl>
    <w:p w:rsidR="002A3ADE" w:rsidRDefault="00D55FA1">
      <w:pPr>
        <w:rPr>
          <w:color w:val="000000"/>
        </w:rPr>
      </w:pPr>
      <w:r>
        <w:rPr>
          <w:color w:val="000000"/>
        </w:rPr>
        <w:t> </w:t>
      </w:r>
    </w:p>
    <w:p w:rsidR="00315003" w:rsidRDefault="00315003" w:rsidP="00315003"/>
    <w:sectPr w:rsidR="00315003" w:rsidSect="00AB6FE8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76"/>
    <w:multiLevelType w:val="hybridMultilevel"/>
    <w:tmpl w:val="1B224F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BFA"/>
    <w:multiLevelType w:val="hybridMultilevel"/>
    <w:tmpl w:val="0E645086"/>
    <w:lvl w:ilvl="0" w:tplc="87D6B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02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2C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E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C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C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A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D44363"/>
    <w:multiLevelType w:val="hybridMultilevel"/>
    <w:tmpl w:val="D018B6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2226"/>
    <w:multiLevelType w:val="hybridMultilevel"/>
    <w:tmpl w:val="3758B7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B03B6"/>
    <w:multiLevelType w:val="hybridMultilevel"/>
    <w:tmpl w:val="94446B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944B4F"/>
    <w:multiLevelType w:val="hybridMultilevel"/>
    <w:tmpl w:val="78C224AA"/>
    <w:lvl w:ilvl="0" w:tplc="CC6CE4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1"/>
    <w:rsid w:val="000303A2"/>
    <w:rsid w:val="000303A9"/>
    <w:rsid w:val="000804CA"/>
    <w:rsid w:val="00080814"/>
    <w:rsid w:val="0011261A"/>
    <w:rsid w:val="0011297C"/>
    <w:rsid w:val="00113E02"/>
    <w:rsid w:val="00117E4E"/>
    <w:rsid w:val="0012649C"/>
    <w:rsid w:val="00177551"/>
    <w:rsid w:val="001B3A58"/>
    <w:rsid w:val="001D6E99"/>
    <w:rsid w:val="001F1E58"/>
    <w:rsid w:val="00201962"/>
    <w:rsid w:val="00206623"/>
    <w:rsid w:val="002264B8"/>
    <w:rsid w:val="002A3ADE"/>
    <w:rsid w:val="002B359D"/>
    <w:rsid w:val="002C6968"/>
    <w:rsid w:val="002C6B2B"/>
    <w:rsid w:val="002D128C"/>
    <w:rsid w:val="002D3434"/>
    <w:rsid w:val="002E1E03"/>
    <w:rsid w:val="00304F80"/>
    <w:rsid w:val="00315003"/>
    <w:rsid w:val="00377C59"/>
    <w:rsid w:val="00387BB3"/>
    <w:rsid w:val="0039605A"/>
    <w:rsid w:val="003C057C"/>
    <w:rsid w:val="003D610C"/>
    <w:rsid w:val="00407571"/>
    <w:rsid w:val="004174E2"/>
    <w:rsid w:val="004207B5"/>
    <w:rsid w:val="00467E72"/>
    <w:rsid w:val="004C35FD"/>
    <w:rsid w:val="004D6EFA"/>
    <w:rsid w:val="004F3018"/>
    <w:rsid w:val="00537E12"/>
    <w:rsid w:val="005A192B"/>
    <w:rsid w:val="005F36C8"/>
    <w:rsid w:val="006034BA"/>
    <w:rsid w:val="00633864"/>
    <w:rsid w:val="00671FC1"/>
    <w:rsid w:val="006A3847"/>
    <w:rsid w:val="006B3B27"/>
    <w:rsid w:val="006F25D4"/>
    <w:rsid w:val="00704977"/>
    <w:rsid w:val="00712B36"/>
    <w:rsid w:val="0073042D"/>
    <w:rsid w:val="007361E0"/>
    <w:rsid w:val="0077009F"/>
    <w:rsid w:val="007B5D44"/>
    <w:rsid w:val="007E2D8D"/>
    <w:rsid w:val="007E36DE"/>
    <w:rsid w:val="008468D2"/>
    <w:rsid w:val="00875A63"/>
    <w:rsid w:val="008D4976"/>
    <w:rsid w:val="008F2563"/>
    <w:rsid w:val="00922B6A"/>
    <w:rsid w:val="0092557D"/>
    <w:rsid w:val="00947383"/>
    <w:rsid w:val="00952CBC"/>
    <w:rsid w:val="00966155"/>
    <w:rsid w:val="00966CFE"/>
    <w:rsid w:val="0099013E"/>
    <w:rsid w:val="00997C2F"/>
    <w:rsid w:val="009F1E19"/>
    <w:rsid w:val="00A20134"/>
    <w:rsid w:val="00A672D4"/>
    <w:rsid w:val="00AB6FE8"/>
    <w:rsid w:val="00AB7622"/>
    <w:rsid w:val="00B02598"/>
    <w:rsid w:val="00B41E7F"/>
    <w:rsid w:val="00B91F7E"/>
    <w:rsid w:val="00BA110A"/>
    <w:rsid w:val="00BB0F69"/>
    <w:rsid w:val="00BB47B5"/>
    <w:rsid w:val="00C07E39"/>
    <w:rsid w:val="00C320EC"/>
    <w:rsid w:val="00C55DED"/>
    <w:rsid w:val="00C57DD4"/>
    <w:rsid w:val="00C872E5"/>
    <w:rsid w:val="00CE4CF6"/>
    <w:rsid w:val="00D06595"/>
    <w:rsid w:val="00D22E81"/>
    <w:rsid w:val="00D37ECE"/>
    <w:rsid w:val="00D55FA1"/>
    <w:rsid w:val="00D723E1"/>
    <w:rsid w:val="00D942B7"/>
    <w:rsid w:val="00DB7356"/>
    <w:rsid w:val="00DC6CC0"/>
    <w:rsid w:val="00DD3010"/>
    <w:rsid w:val="00DF51AE"/>
    <w:rsid w:val="00E2524D"/>
    <w:rsid w:val="00E27CEB"/>
    <w:rsid w:val="00E33593"/>
    <w:rsid w:val="00E62DC1"/>
    <w:rsid w:val="00E86328"/>
    <w:rsid w:val="00E91801"/>
    <w:rsid w:val="00EE0652"/>
    <w:rsid w:val="00EE2CBC"/>
    <w:rsid w:val="00F04010"/>
    <w:rsid w:val="00F05FC2"/>
    <w:rsid w:val="00F12BB8"/>
    <w:rsid w:val="00F31F1D"/>
    <w:rsid w:val="00F3577F"/>
    <w:rsid w:val="00F4184A"/>
    <w:rsid w:val="00F70300"/>
    <w:rsid w:val="00FA2CF3"/>
    <w:rsid w:val="00FB4710"/>
    <w:rsid w:val="00FC1EBF"/>
    <w:rsid w:val="00FD77A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A1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2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2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2C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7BB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F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FC1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35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35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3593"/>
    <w:rPr>
      <w:rFonts w:ascii="Calibri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35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3593"/>
    <w:rPr>
      <w:rFonts w:ascii="Calibri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E33593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52C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52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52CBC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A1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2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2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2C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7BB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F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FC1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35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35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3593"/>
    <w:rPr>
      <w:rFonts w:ascii="Calibri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35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3593"/>
    <w:rPr>
      <w:rFonts w:ascii="Calibri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E33593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52C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52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52CBC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2B86-79FC-4188-B4EA-50644C2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E2BDAD47.dotm</Template>
  <TotalTime>1</TotalTime>
  <Pages>2</Pages>
  <Words>506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Lindbo Larsen</dc:creator>
  <cp:lastModifiedBy>Kirsten Elbo</cp:lastModifiedBy>
  <cp:revision>3</cp:revision>
  <cp:lastPrinted>2013-06-18T13:28:00Z</cp:lastPrinted>
  <dcterms:created xsi:type="dcterms:W3CDTF">2013-06-18T14:02:00Z</dcterms:created>
  <dcterms:modified xsi:type="dcterms:W3CDTF">2013-06-18T14:02:00Z</dcterms:modified>
</cp:coreProperties>
</file>