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CellMar>
          <w:top w:w="57" w:type="dxa"/>
          <w:left w:w="0" w:type="dxa"/>
          <w:right w:w="0" w:type="dxa"/>
        </w:tblCellMar>
        <w:tblLook w:val="01E0" w:firstRow="1" w:lastRow="1" w:firstColumn="1" w:lastColumn="1" w:noHBand="0" w:noVBand="0"/>
      </w:tblPr>
      <w:tblGrid>
        <w:gridCol w:w="7257"/>
        <w:gridCol w:w="624"/>
        <w:gridCol w:w="2019"/>
      </w:tblGrid>
      <w:tr w:rsidR="00A05031" w:rsidTr="005A4CBA">
        <w:trPr>
          <w:trHeight w:hRule="exact" w:val="706"/>
        </w:trPr>
        <w:tc>
          <w:tcPr>
            <w:tcW w:w="7257" w:type="dxa"/>
            <w:tcBorders>
              <w:bottom w:val="single" w:sz="2" w:space="0" w:color="auto"/>
            </w:tcBorders>
          </w:tcPr>
          <w:p w:rsidR="001128CF" w:rsidRPr="005A4CBA" w:rsidRDefault="00F86F6E" w:rsidP="00702E06">
            <w:pPr>
              <w:pStyle w:val="DokTitel"/>
              <w:rPr>
                <w:sz w:val="32"/>
                <w:szCs w:val="32"/>
              </w:rPr>
            </w:pPr>
            <w:bookmarkStart w:id="0" w:name="_GoBack"/>
            <w:bookmarkEnd w:id="0"/>
            <w:r w:rsidRPr="009002ED">
              <w:rPr>
                <w:color w:val="FF0000"/>
              </w:rPr>
              <w:t xml:space="preserve">Bilag 14: </w:t>
            </w:r>
            <w:r w:rsidR="00702E06">
              <w:t>Cover til r</w:t>
            </w:r>
            <w:r w:rsidR="00970FCE">
              <w:t xml:space="preserve">isikovurdering </w:t>
            </w:r>
          </w:p>
        </w:tc>
        <w:tc>
          <w:tcPr>
            <w:tcW w:w="624" w:type="dxa"/>
          </w:tcPr>
          <w:p w:rsidR="001128CF" w:rsidRPr="002A786E" w:rsidRDefault="001128CF" w:rsidP="00D2297E">
            <w:pPr>
              <w:pStyle w:val="DokTitel"/>
            </w:pPr>
          </w:p>
        </w:tc>
        <w:tc>
          <w:tcPr>
            <w:tcW w:w="2019" w:type="dxa"/>
          </w:tcPr>
          <w:p w:rsidR="001128CF" w:rsidRDefault="001609B2" w:rsidP="00F74E86">
            <w:bookmarkStart w:id="1" w:name="BmDato"/>
            <w:bookmarkEnd w:id="1"/>
            <w:r>
              <w:t>Dato</w:t>
            </w:r>
            <w:r w:rsidR="005A4CBA">
              <w:t xml:space="preserve"> </w:t>
            </w:r>
            <w:r w:rsidR="006D5384">
              <w:t>3</w:t>
            </w:r>
            <w:r w:rsidR="00F86F6E">
              <w:t>1. maj</w:t>
            </w:r>
            <w:r w:rsidR="006D5384">
              <w:t xml:space="preserve"> 2013</w:t>
            </w:r>
          </w:p>
          <w:p w:rsidR="001128CF" w:rsidRDefault="001128CF" w:rsidP="001609B2">
            <w:bookmarkStart w:id="2" w:name="BmOmraade"/>
            <w:bookmarkStart w:id="3" w:name="BmJournalnr"/>
            <w:bookmarkEnd w:id="2"/>
            <w:bookmarkEnd w:id="3"/>
          </w:p>
        </w:tc>
      </w:tr>
    </w:tbl>
    <w:p w:rsidR="003B27BC" w:rsidRDefault="00970FCE" w:rsidP="003B27BC">
      <w:pPr>
        <w:pStyle w:val="Overskrift1"/>
      </w:pPr>
      <w:bookmarkStart w:id="4" w:name="BmOverskrift"/>
      <w:bookmarkEnd w:id="4"/>
      <w:r>
        <w:t>I</w:t>
      </w:r>
      <w:r w:rsidR="003D07E2">
        <w:t xml:space="preserve">ndsendelse af </w:t>
      </w:r>
      <w:r w:rsidR="003D07E2" w:rsidRPr="00E86757">
        <w:t>projektgrundlag</w:t>
      </w:r>
      <w:r w:rsidR="003D07E2">
        <w:t xml:space="preserve"> til risikovurdering i regi af </w:t>
      </w:r>
      <w:r w:rsidR="00E831EF">
        <w:t>Statens IT-projektråd</w:t>
      </w:r>
    </w:p>
    <w:p w:rsidR="003C2F41" w:rsidRDefault="003C2F41" w:rsidP="003B27BC">
      <w:pPr>
        <w:rPr>
          <w:b/>
        </w:rPr>
      </w:pPr>
    </w:p>
    <w:p w:rsidR="006D5384" w:rsidRPr="006D5384" w:rsidRDefault="00BA39D1" w:rsidP="006D5384">
      <w:pPr>
        <w:rPr>
          <w:b/>
        </w:rPr>
      </w:pPr>
      <w:r>
        <w:rPr>
          <w:b/>
        </w:rPr>
        <w:t>Projekterne under d</w:t>
      </w:r>
      <w:r w:rsidR="00BA12B3">
        <w:rPr>
          <w:b/>
        </w:rPr>
        <w:t>elp</w:t>
      </w:r>
      <w:r w:rsidR="003D07E2" w:rsidRPr="00E86757">
        <w:rPr>
          <w:b/>
        </w:rPr>
        <w:t>r</w:t>
      </w:r>
      <w:r w:rsidR="00C014BE" w:rsidRPr="00E86757">
        <w:rPr>
          <w:b/>
        </w:rPr>
        <w:t>ogram</w:t>
      </w:r>
      <w:r>
        <w:rPr>
          <w:b/>
        </w:rPr>
        <w:t>met</w:t>
      </w:r>
    </w:p>
    <w:p w:rsidR="003D07E2" w:rsidRDefault="00BA39D1" w:rsidP="003B27BC">
      <w:r>
        <w:t xml:space="preserve">Projekterne </w:t>
      </w:r>
      <w:r w:rsidR="006C7779" w:rsidRPr="006C7779">
        <w:rPr>
          <w:i/>
        </w:rPr>
        <w:t>Matriklens udvidelse</w:t>
      </w:r>
      <w:r w:rsidR="006C7779">
        <w:t xml:space="preserve">, </w:t>
      </w:r>
      <w:r w:rsidR="00D96C2D" w:rsidRPr="006C7779">
        <w:rPr>
          <w:i/>
        </w:rPr>
        <w:t>Udvidelse af BBR</w:t>
      </w:r>
      <w:r w:rsidR="00D96C2D" w:rsidRPr="00DC1730">
        <w:t xml:space="preserve"> </w:t>
      </w:r>
      <w:r w:rsidR="006C7779">
        <w:t xml:space="preserve">og </w:t>
      </w:r>
      <w:r w:rsidR="00D96C2D" w:rsidRPr="006C7779">
        <w:rPr>
          <w:i/>
        </w:rPr>
        <w:t>Ny Ejerfortegnelse og tilpasning af Tingbogen</w:t>
      </w:r>
      <w:r>
        <w:t xml:space="preserve"> indgår i delprogram </w:t>
      </w:r>
      <w:r w:rsidRPr="006C7779">
        <w:rPr>
          <w:i/>
        </w:rPr>
        <w:t>Effektiv ejendomsforvaltning og genbrug af ejendomsdata</w:t>
      </w:r>
      <w:r>
        <w:t>.</w:t>
      </w:r>
    </w:p>
    <w:p w:rsidR="00D96C2D" w:rsidRDefault="00D96C2D" w:rsidP="003B27BC">
      <w:pPr>
        <w:rPr>
          <w:b/>
        </w:rPr>
      </w:pPr>
    </w:p>
    <w:p w:rsidR="009D0A86" w:rsidRDefault="00D96C2D" w:rsidP="003B27BC">
      <w:pPr>
        <w:rPr>
          <w:b/>
        </w:rPr>
      </w:pPr>
      <w:r>
        <w:rPr>
          <w:b/>
        </w:rPr>
        <w:t>Delp</w:t>
      </w:r>
      <w:r w:rsidR="009D0A86" w:rsidRPr="00E86757">
        <w:rPr>
          <w:b/>
        </w:rPr>
        <w:t>ro</w:t>
      </w:r>
      <w:r w:rsidR="00C014BE" w:rsidRPr="00E86757">
        <w:rPr>
          <w:b/>
        </w:rPr>
        <w:t>gram</w:t>
      </w:r>
      <w:r w:rsidR="009D0A86">
        <w:rPr>
          <w:b/>
        </w:rPr>
        <w:t>resumé</w:t>
      </w:r>
    </w:p>
    <w:p w:rsidR="00881BF0" w:rsidRPr="006D5384" w:rsidRDefault="006D5384" w:rsidP="009D0A86">
      <w:r w:rsidRPr="006D5384">
        <w:t xml:space="preserve">Grunddata </w:t>
      </w:r>
      <w:r w:rsidR="00B5520B">
        <w:t>vedrørende</w:t>
      </w:r>
      <w:r w:rsidRPr="006D5384">
        <w:t xml:space="preserve"> </w:t>
      </w:r>
      <w:r w:rsidR="001362D3">
        <w:t xml:space="preserve">landets ca. 2,2 mio. faste </w:t>
      </w:r>
      <w:r w:rsidRPr="006D5384">
        <w:t xml:space="preserve">ejendomme skal forbedres og gøres frit tilgængelige i autoritative registre. Derved </w:t>
      </w:r>
      <w:r w:rsidR="001362D3">
        <w:t xml:space="preserve">etableres grundlaget for </w:t>
      </w:r>
      <w:r w:rsidRPr="006D5384">
        <w:t>en mere enkelt forvaltning</w:t>
      </w:r>
      <w:r w:rsidR="00E17448">
        <w:t>,</w:t>
      </w:r>
      <w:r w:rsidRPr="006D5384">
        <w:t xml:space="preserve"> </w:t>
      </w:r>
      <w:r w:rsidR="00B5520B">
        <w:t>risikoen for fejl og</w:t>
      </w:r>
      <w:r w:rsidR="001362D3">
        <w:t xml:space="preserve"> misforståelser reduceres </w:t>
      </w:r>
      <w:r w:rsidRPr="006D5384">
        <w:t xml:space="preserve">og barrierer for private virksomheders </w:t>
      </w:r>
      <w:r w:rsidR="00995D9C">
        <w:t xml:space="preserve">umiddelbare </w:t>
      </w:r>
      <w:r w:rsidRPr="006D5384">
        <w:t xml:space="preserve">brug af </w:t>
      </w:r>
      <w:r w:rsidR="00995D9C">
        <w:t>ejendoms</w:t>
      </w:r>
      <w:r w:rsidRPr="006D5384">
        <w:t xml:space="preserve">data </w:t>
      </w:r>
      <w:r w:rsidR="00995D9C">
        <w:t xml:space="preserve">fra offentlige registre </w:t>
      </w:r>
      <w:r w:rsidRPr="006D5384">
        <w:t>fjernes.</w:t>
      </w:r>
    </w:p>
    <w:p w:rsidR="003B27BC" w:rsidRDefault="003B27BC" w:rsidP="003B27BC">
      <w:pPr>
        <w:rPr>
          <w:b/>
        </w:rPr>
      </w:pPr>
    </w:p>
    <w:p w:rsidR="00E831EF" w:rsidRDefault="00BA39D1" w:rsidP="003B27BC">
      <w:pPr>
        <w:rPr>
          <w:b/>
        </w:rPr>
      </w:pPr>
      <w:r>
        <w:rPr>
          <w:b/>
        </w:rPr>
        <w:t>P</w:t>
      </w:r>
      <w:r w:rsidR="00E86757" w:rsidRPr="00E86757">
        <w:rPr>
          <w:b/>
        </w:rPr>
        <w:t>rojekt</w:t>
      </w:r>
      <w:r>
        <w:rPr>
          <w:b/>
        </w:rPr>
        <w:t>erne</w:t>
      </w:r>
      <w:r w:rsidR="00E831EF" w:rsidRPr="00E86757">
        <w:rPr>
          <w:b/>
        </w:rPr>
        <w:t>s</w:t>
      </w:r>
      <w:r w:rsidR="00E831EF">
        <w:rPr>
          <w:b/>
        </w:rPr>
        <w:t xml:space="preserve"> kontekst</w:t>
      </w:r>
    </w:p>
    <w:p w:rsidR="00F33EEF" w:rsidRDefault="009D707D" w:rsidP="003B27BC">
      <w:r>
        <w:t>Risikovurderingen omfatter</w:t>
      </w:r>
      <w:r w:rsidR="00BA39D1">
        <w:t xml:space="preserve"> projekter</w:t>
      </w:r>
      <w:r>
        <w:t>ne</w:t>
      </w:r>
      <w:r w:rsidR="00BA39D1">
        <w:t xml:space="preserve"> </w:t>
      </w:r>
      <w:r w:rsidR="00BA39D1" w:rsidRPr="00906A86">
        <w:rPr>
          <w:i/>
        </w:rPr>
        <w:t>Matriklens udvidelse</w:t>
      </w:r>
      <w:r w:rsidR="00BA39D1">
        <w:t xml:space="preserve">, </w:t>
      </w:r>
      <w:r w:rsidR="00BA39D1" w:rsidRPr="00906A86">
        <w:rPr>
          <w:i/>
        </w:rPr>
        <w:t>Udvidelse af BBR</w:t>
      </w:r>
      <w:r w:rsidR="00BA39D1" w:rsidRPr="00DC1730">
        <w:t xml:space="preserve"> </w:t>
      </w:r>
      <w:r w:rsidR="00BA39D1">
        <w:t xml:space="preserve">og </w:t>
      </w:r>
      <w:r w:rsidR="00BA39D1" w:rsidRPr="00906A86">
        <w:rPr>
          <w:i/>
        </w:rPr>
        <w:t>Ny Ejerfortegnelse og tilpasning af Tingbogen</w:t>
      </w:r>
      <w:r w:rsidR="00BA39D1">
        <w:t xml:space="preserve">. </w:t>
      </w:r>
      <w:r>
        <w:t>Projekternes businesscase</w:t>
      </w:r>
      <w:r w:rsidRPr="00617E68">
        <w:t xml:space="preserve">, </w:t>
      </w:r>
      <w:r>
        <w:t>tværgående risici og gevinst</w:t>
      </w:r>
      <w:r w:rsidRPr="00617E68">
        <w:t>realiseringen risikovurderes på delprogramniveau.</w:t>
      </w:r>
      <w:r>
        <w:t xml:space="preserve"> D</w:t>
      </w:r>
      <w:r w:rsidR="00E17448" w:rsidRPr="00E17448">
        <w:t>elprogram</w:t>
      </w:r>
      <w:r>
        <w:t xml:space="preserve">met er </w:t>
      </w:r>
      <w:r w:rsidR="00BA7893" w:rsidRPr="00906A86">
        <w:rPr>
          <w:i/>
        </w:rPr>
        <w:t>delprogram 1</w:t>
      </w:r>
      <w:r w:rsidR="00BA7893">
        <w:t xml:space="preserve"> (GD1)</w:t>
      </w:r>
      <w:r>
        <w:t>af</w:t>
      </w:r>
      <w:r w:rsidR="00E17448" w:rsidRPr="00E17448">
        <w:t xml:space="preserve"> </w:t>
      </w:r>
      <w:r w:rsidR="00BA39D1" w:rsidRPr="00906A86">
        <w:rPr>
          <w:i/>
        </w:rPr>
        <w:t>Grunddataprogrammets</w:t>
      </w:r>
      <w:r w:rsidR="00BA39D1">
        <w:t xml:space="preserve"> </w:t>
      </w:r>
      <w:r w:rsidR="00BA7893">
        <w:t>i alt 8</w:t>
      </w:r>
      <w:r w:rsidR="00BA7893" w:rsidRPr="00E17448">
        <w:t xml:space="preserve"> </w:t>
      </w:r>
      <w:r w:rsidR="00E17448" w:rsidRPr="00E17448">
        <w:t>del</w:t>
      </w:r>
      <w:r w:rsidR="00BA39D1">
        <w:t xml:space="preserve">programmer. </w:t>
      </w:r>
      <w:r w:rsidR="00BA39D1" w:rsidRPr="00906A86">
        <w:rPr>
          <w:i/>
        </w:rPr>
        <w:t>Grunddataprogrammet</w:t>
      </w:r>
      <w:r w:rsidR="00BA39D1">
        <w:t xml:space="preserve"> </w:t>
      </w:r>
      <w:r w:rsidR="00E17448" w:rsidRPr="00E17448">
        <w:t>blev aftalt mellem KL og regeringen i oktober 2012</w:t>
      </w:r>
      <w:r w:rsidR="00F33EEF">
        <w:t>, som en del af den fællesoffentlige digitaliseringsstrategi</w:t>
      </w:r>
      <w:r w:rsidR="00E17448" w:rsidRPr="00E17448">
        <w:t>.</w:t>
      </w:r>
      <w:r w:rsidR="00BA39D1">
        <w:t xml:space="preserve"> </w:t>
      </w:r>
      <w:r w:rsidR="007524BB" w:rsidRPr="00E67EB4">
        <w:t xml:space="preserve">Samlet giver </w:t>
      </w:r>
      <w:r w:rsidR="007524BB" w:rsidRPr="00906A86">
        <w:rPr>
          <w:i/>
        </w:rPr>
        <w:t>Grunddataprogrammet</w:t>
      </w:r>
      <w:r w:rsidR="007524BB" w:rsidRPr="00E67EB4">
        <w:t xml:space="preserve"> en effektivisering af den offentlige sektor på </w:t>
      </w:r>
      <w:r w:rsidR="007524BB" w:rsidRPr="00341C49">
        <w:t>295 mio</w:t>
      </w:r>
      <w:r w:rsidR="007524BB" w:rsidRPr="00E67EB4">
        <w:t>. kr. i 2020 gennem bedre sagsbehandling, mindre dobbeltvedligehold og lavere it-omkostninger.</w:t>
      </w:r>
      <w:r w:rsidR="0088677C">
        <w:t xml:space="preserve"> </w:t>
      </w:r>
    </w:p>
    <w:p w:rsidR="00F33EEF" w:rsidRDefault="00F33EEF" w:rsidP="003B27BC"/>
    <w:p w:rsidR="00E831EF" w:rsidRDefault="00FF06C6" w:rsidP="003B27BC">
      <w:r>
        <w:t xml:space="preserve">Delprogrammet </w:t>
      </w:r>
      <w:r w:rsidR="00C45E9D" w:rsidRPr="00906A86">
        <w:rPr>
          <w:i/>
        </w:rPr>
        <w:t>Effektiv ejendomsforvaltning og genbrug af ejendomsdata</w:t>
      </w:r>
      <w:r w:rsidR="00C45E9D" w:rsidRPr="00E17448">
        <w:t xml:space="preserve"> </w:t>
      </w:r>
      <w:r w:rsidR="00C45E9D">
        <w:t xml:space="preserve">bidrager med </w:t>
      </w:r>
      <w:r w:rsidR="007524BB">
        <w:t>18</w:t>
      </w:r>
      <w:r w:rsidR="008B07FC">
        <w:t xml:space="preserve"> </w:t>
      </w:r>
      <w:r w:rsidR="00C45E9D">
        <w:t xml:space="preserve">mio. kr. i 2016 stigende til </w:t>
      </w:r>
      <w:r w:rsidR="005762D4">
        <w:t>2</w:t>
      </w:r>
      <w:r w:rsidR="007524BB">
        <w:t>6</w:t>
      </w:r>
      <w:r w:rsidR="005762D4">
        <w:t>,5</w:t>
      </w:r>
      <w:r w:rsidR="00C45E9D">
        <w:t xml:space="preserve"> mio. kr. i 20</w:t>
      </w:r>
      <w:r w:rsidR="008B07FC">
        <w:t>20</w:t>
      </w:r>
      <w:r w:rsidR="003F54F0">
        <w:t xml:space="preserve"> og </w:t>
      </w:r>
      <w:r w:rsidR="005762D4">
        <w:t>frem</w:t>
      </w:r>
      <w:r w:rsidR="00F33EEF">
        <w:t>ad</w:t>
      </w:r>
      <w:r w:rsidR="00C45E9D">
        <w:t>. Effektiviseringerne opnås gennem</w:t>
      </w:r>
      <w:r w:rsidR="008B07FC">
        <w:t xml:space="preserve"> en </w:t>
      </w:r>
      <w:r w:rsidR="00953E82">
        <w:t xml:space="preserve">omfattende begrebsharmonisering som en forudsætning for at registreringen af landets faste ejendomme fremover sker </w:t>
      </w:r>
      <w:r w:rsidR="00B5520B">
        <w:t>i é</w:t>
      </w:r>
      <w:r w:rsidR="00953E82">
        <w:t xml:space="preserve">t register (Matriklen) mod tre forskellige registre i dag. </w:t>
      </w:r>
      <w:r w:rsidR="00B53438">
        <w:t>D</w:t>
      </w:r>
      <w:r w:rsidR="00953E82">
        <w:t xml:space="preserve">et giver besparelser </w:t>
      </w:r>
      <w:r w:rsidR="00CE22B4">
        <w:t>på udvikling og drift af ”parallelle” it-systemer</w:t>
      </w:r>
      <w:r w:rsidR="003F54F0">
        <w:t xml:space="preserve"> </w:t>
      </w:r>
      <w:r w:rsidR="004800E3">
        <w:t>samt ved, at</w:t>
      </w:r>
      <w:r w:rsidR="00CE22B4">
        <w:t xml:space="preserve"> en række manuelle processer i kommunerne bortfalder. </w:t>
      </w:r>
      <w:r w:rsidR="00995D9C">
        <w:t>Ligeledes er der internt i private virksomheder, som anvender ejendomsdata, et effektiviseringspotentiale knyttet til de nye muligheder for at dele data og indgå i digitale samspil med både private og offentlige samarbejdspartnere.</w:t>
      </w:r>
    </w:p>
    <w:p w:rsidR="00C45E9D" w:rsidRDefault="00C45E9D" w:rsidP="003B27BC">
      <w:pPr>
        <w:rPr>
          <w:color w:val="808080"/>
        </w:rPr>
      </w:pPr>
    </w:p>
    <w:p w:rsidR="00E17448" w:rsidRPr="00E17448" w:rsidRDefault="00E17448" w:rsidP="003B27BC">
      <w:r w:rsidRPr="00E17448">
        <w:t xml:space="preserve">Der henvises i øvrigt til </w:t>
      </w:r>
      <w:r w:rsidR="005762D4">
        <w:t xml:space="preserve">vedlagte </w:t>
      </w:r>
      <w:r w:rsidR="009D707D">
        <w:t>bilag.</w:t>
      </w:r>
    </w:p>
    <w:p w:rsidR="00E831EF" w:rsidRDefault="00E831EF" w:rsidP="003B27BC">
      <w:pPr>
        <w:rPr>
          <w:b/>
        </w:rPr>
      </w:pPr>
    </w:p>
    <w:p w:rsidR="003B27BC" w:rsidRDefault="0088677C" w:rsidP="003B27BC">
      <w:pPr>
        <w:rPr>
          <w:b/>
        </w:rPr>
      </w:pPr>
      <w:r>
        <w:rPr>
          <w:b/>
        </w:rPr>
        <w:br w:type="page"/>
      </w:r>
      <w:r w:rsidR="00CC0913">
        <w:rPr>
          <w:b/>
        </w:rPr>
        <w:lastRenderedPageBreak/>
        <w:t>Tre største r</w:t>
      </w:r>
      <w:r w:rsidR="003B27BC">
        <w:rPr>
          <w:b/>
        </w:rPr>
        <w:t xml:space="preserve">isici </w:t>
      </w:r>
    </w:p>
    <w:p w:rsidR="00B56FE9" w:rsidRDefault="00B56FE9" w:rsidP="003B27BC">
      <w:pPr>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5136"/>
        <w:gridCol w:w="1241"/>
      </w:tblGrid>
      <w:tr w:rsidR="00AA46C7" w:rsidRPr="00906A86" w:rsidTr="00906A86">
        <w:trPr>
          <w:trHeight w:val="479"/>
        </w:trPr>
        <w:tc>
          <w:tcPr>
            <w:tcW w:w="1493" w:type="dxa"/>
            <w:vAlign w:val="center"/>
          </w:tcPr>
          <w:p w:rsidR="00795BB8" w:rsidRPr="00906A86" w:rsidRDefault="00BD6EC9" w:rsidP="00906A86">
            <w:pPr>
              <w:spacing w:line="240" w:lineRule="auto"/>
              <w:rPr>
                <w:b/>
                <w:sz w:val="18"/>
                <w:szCs w:val="18"/>
              </w:rPr>
            </w:pPr>
            <w:r w:rsidRPr="00906A86">
              <w:rPr>
                <w:b/>
                <w:sz w:val="18"/>
                <w:szCs w:val="18"/>
              </w:rPr>
              <w:t>Risiko</w:t>
            </w:r>
            <w:r w:rsidR="00AA46C7" w:rsidRPr="00906A86">
              <w:rPr>
                <w:b/>
                <w:sz w:val="18"/>
                <w:szCs w:val="18"/>
              </w:rPr>
              <w:t xml:space="preserve"> id,</w:t>
            </w:r>
            <w:r w:rsidR="00AA46C7" w:rsidRPr="00906A86">
              <w:rPr>
                <w:b/>
                <w:sz w:val="18"/>
                <w:szCs w:val="18"/>
              </w:rPr>
              <w:br/>
            </w:r>
            <w:r w:rsidR="005762D4" w:rsidRPr="00906A86">
              <w:rPr>
                <w:b/>
                <w:sz w:val="18"/>
                <w:szCs w:val="18"/>
              </w:rPr>
              <w:t>jf. risikoanalyse</w:t>
            </w:r>
          </w:p>
        </w:tc>
        <w:tc>
          <w:tcPr>
            <w:tcW w:w="5136" w:type="dxa"/>
            <w:vAlign w:val="center"/>
          </w:tcPr>
          <w:p w:rsidR="00CC0913" w:rsidRPr="00906A86" w:rsidRDefault="00CC0913" w:rsidP="00906A86">
            <w:pPr>
              <w:rPr>
                <w:b/>
                <w:sz w:val="18"/>
                <w:szCs w:val="18"/>
              </w:rPr>
            </w:pPr>
            <w:r w:rsidRPr="00906A86">
              <w:rPr>
                <w:b/>
                <w:sz w:val="18"/>
                <w:szCs w:val="18"/>
              </w:rPr>
              <w:t>Beskrivelse</w:t>
            </w:r>
            <w:r w:rsidR="00BD6EC9" w:rsidRPr="00906A86">
              <w:rPr>
                <w:b/>
                <w:sz w:val="18"/>
                <w:szCs w:val="18"/>
              </w:rPr>
              <w:t xml:space="preserve"> af risiko</w:t>
            </w:r>
          </w:p>
        </w:tc>
        <w:tc>
          <w:tcPr>
            <w:tcW w:w="1241" w:type="dxa"/>
            <w:vAlign w:val="center"/>
          </w:tcPr>
          <w:p w:rsidR="00CC0913" w:rsidRPr="00906A86" w:rsidRDefault="00AA46C7" w:rsidP="00906A86">
            <w:pPr>
              <w:rPr>
                <w:b/>
                <w:sz w:val="18"/>
                <w:szCs w:val="18"/>
              </w:rPr>
            </w:pPr>
            <w:r w:rsidRPr="00906A86">
              <w:rPr>
                <w:b/>
                <w:sz w:val="18"/>
                <w:szCs w:val="18"/>
              </w:rPr>
              <w:t>Risikoværdi</w:t>
            </w:r>
          </w:p>
        </w:tc>
      </w:tr>
      <w:tr w:rsidR="00CC0913" w:rsidRPr="00906A86" w:rsidTr="00906A86">
        <w:tc>
          <w:tcPr>
            <w:tcW w:w="1493" w:type="dxa"/>
          </w:tcPr>
          <w:p w:rsidR="00CC0913" w:rsidRPr="00906A86" w:rsidRDefault="00CC0913" w:rsidP="003B27BC">
            <w:pPr>
              <w:rPr>
                <w:sz w:val="18"/>
                <w:szCs w:val="18"/>
              </w:rPr>
            </w:pPr>
            <w:r w:rsidRPr="00906A86">
              <w:rPr>
                <w:sz w:val="18"/>
                <w:szCs w:val="18"/>
              </w:rPr>
              <w:t>1</w:t>
            </w:r>
          </w:p>
        </w:tc>
        <w:tc>
          <w:tcPr>
            <w:tcW w:w="5136" w:type="dxa"/>
          </w:tcPr>
          <w:p w:rsidR="00CC0913" w:rsidRPr="00906A86" w:rsidRDefault="007524BB" w:rsidP="00906A86">
            <w:pPr>
              <w:spacing w:line="240" w:lineRule="atLeast"/>
              <w:rPr>
                <w:sz w:val="18"/>
                <w:szCs w:val="18"/>
              </w:rPr>
            </w:pPr>
            <w:r w:rsidRPr="00906A86">
              <w:rPr>
                <w:b/>
                <w:sz w:val="18"/>
                <w:szCs w:val="18"/>
              </w:rPr>
              <w:t>Budgetlov:</w:t>
            </w:r>
            <w:r w:rsidRPr="00906A86">
              <w:rPr>
                <w:sz w:val="18"/>
                <w:szCs w:val="18"/>
              </w:rPr>
              <w:t xml:space="preserve"> Det er ikke muligt at foretage de nødvendige justeringer af budgettet iht. implementeringsplanen pga. budgetlovens begrænsninger i</w:t>
            </w:r>
            <w:r w:rsidR="003C404E" w:rsidRPr="00906A86">
              <w:rPr>
                <w:sz w:val="18"/>
                <w:szCs w:val="18"/>
              </w:rPr>
              <w:t xml:space="preserve"> forhold til</w:t>
            </w:r>
            <w:r w:rsidRPr="00906A86">
              <w:rPr>
                <w:sz w:val="18"/>
                <w:szCs w:val="18"/>
              </w:rPr>
              <w:t xml:space="preserve"> at overføre midler mellem budgetår.</w:t>
            </w:r>
          </w:p>
        </w:tc>
        <w:tc>
          <w:tcPr>
            <w:tcW w:w="1241" w:type="dxa"/>
          </w:tcPr>
          <w:p w:rsidR="00CC0913" w:rsidRPr="00906A86" w:rsidRDefault="007524BB" w:rsidP="00906A86">
            <w:pPr>
              <w:jc w:val="center"/>
              <w:rPr>
                <w:sz w:val="18"/>
                <w:szCs w:val="18"/>
              </w:rPr>
            </w:pPr>
            <w:r w:rsidRPr="00906A86">
              <w:rPr>
                <w:sz w:val="18"/>
                <w:szCs w:val="18"/>
              </w:rPr>
              <w:t>16</w:t>
            </w:r>
          </w:p>
        </w:tc>
      </w:tr>
      <w:tr w:rsidR="00CC0913" w:rsidRPr="00906A86" w:rsidTr="00906A86">
        <w:tc>
          <w:tcPr>
            <w:tcW w:w="1493" w:type="dxa"/>
          </w:tcPr>
          <w:p w:rsidR="00CC0913" w:rsidRPr="00906A86" w:rsidRDefault="00CC0913" w:rsidP="004C0E31">
            <w:pPr>
              <w:rPr>
                <w:sz w:val="18"/>
                <w:szCs w:val="18"/>
              </w:rPr>
            </w:pPr>
            <w:r w:rsidRPr="00906A86">
              <w:rPr>
                <w:sz w:val="18"/>
                <w:szCs w:val="18"/>
              </w:rPr>
              <w:t>2</w:t>
            </w:r>
            <w:r w:rsidR="00BA7893" w:rsidRPr="00906A86">
              <w:rPr>
                <w:sz w:val="18"/>
                <w:szCs w:val="18"/>
              </w:rPr>
              <w:t>0</w:t>
            </w:r>
            <w:r w:rsidRPr="00906A86">
              <w:rPr>
                <w:sz w:val="18"/>
                <w:szCs w:val="18"/>
              </w:rPr>
              <w:t xml:space="preserve"> </w:t>
            </w:r>
          </w:p>
        </w:tc>
        <w:tc>
          <w:tcPr>
            <w:tcW w:w="5136" w:type="dxa"/>
          </w:tcPr>
          <w:p w:rsidR="009348DD" w:rsidRPr="00906A86" w:rsidRDefault="009348DD" w:rsidP="00906A86">
            <w:pPr>
              <w:spacing w:line="240" w:lineRule="atLeast"/>
              <w:rPr>
                <w:sz w:val="18"/>
                <w:szCs w:val="18"/>
              </w:rPr>
            </w:pPr>
            <w:r w:rsidRPr="00906A86">
              <w:rPr>
                <w:b/>
                <w:sz w:val="18"/>
                <w:szCs w:val="18"/>
              </w:rPr>
              <w:t>Datafordelerens implementering, KOMPLEKS forsinkelse:</w:t>
            </w:r>
            <w:r w:rsidRPr="00906A86">
              <w:rPr>
                <w:sz w:val="18"/>
                <w:szCs w:val="18"/>
              </w:rPr>
              <w:t xml:space="preserve"> Delprogram 7, datafordeleren (GD7) kan ikke rettidigt implementere de nødvendige services (BBR, Matrikel, Ejerfortegnelse, AWS 5.0,) hvorved nærværende delprograms realisering forsinkes i en længere periode og services skal etableres udenfor datafordeleren.</w:t>
            </w:r>
          </w:p>
        </w:tc>
        <w:tc>
          <w:tcPr>
            <w:tcW w:w="1241" w:type="dxa"/>
          </w:tcPr>
          <w:p w:rsidR="00CC0913" w:rsidRPr="00906A86" w:rsidRDefault="009348DD" w:rsidP="00906A86">
            <w:pPr>
              <w:jc w:val="center"/>
              <w:rPr>
                <w:sz w:val="18"/>
                <w:szCs w:val="18"/>
              </w:rPr>
            </w:pPr>
            <w:r w:rsidRPr="00906A86">
              <w:rPr>
                <w:sz w:val="18"/>
                <w:szCs w:val="18"/>
              </w:rPr>
              <w:t>12</w:t>
            </w:r>
          </w:p>
        </w:tc>
      </w:tr>
      <w:tr w:rsidR="00CC0913" w:rsidRPr="00906A86" w:rsidTr="00906A86">
        <w:tc>
          <w:tcPr>
            <w:tcW w:w="1493" w:type="dxa"/>
          </w:tcPr>
          <w:p w:rsidR="00CC0913" w:rsidRPr="00906A86" w:rsidRDefault="005334F3" w:rsidP="004C0E31">
            <w:pPr>
              <w:rPr>
                <w:sz w:val="18"/>
                <w:szCs w:val="18"/>
              </w:rPr>
            </w:pPr>
            <w:r>
              <w:rPr>
                <w:sz w:val="18"/>
                <w:szCs w:val="18"/>
              </w:rPr>
              <w:t>9</w:t>
            </w:r>
          </w:p>
        </w:tc>
        <w:tc>
          <w:tcPr>
            <w:tcW w:w="5136" w:type="dxa"/>
          </w:tcPr>
          <w:p w:rsidR="00CC0913" w:rsidRPr="00906A86" w:rsidRDefault="005334F3" w:rsidP="00906A86">
            <w:pPr>
              <w:spacing w:line="240" w:lineRule="atLeast"/>
              <w:rPr>
                <w:sz w:val="18"/>
                <w:szCs w:val="18"/>
              </w:rPr>
            </w:pPr>
            <w:r w:rsidRPr="00906A86">
              <w:rPr>
                <w:b/>
                <w:sz w:val="18"/>
                <w:szCs w:val="18"/>
              </w:rPr>
              <w:t xml:space="preserve">Projekternes produkter </w:t>
            </w:r>
            <w:r w:rsidR="005141ED" w:rsidRPr="00906A86">
              <w:rPr>
                <w:b/>
                <w:sz w:val="18"/>
                <w:szCs w:val="18"/>
              </w:rPr>
              <w:t xml:space="preserve">forsinkes eller leveres </w:t>
            </w:r>
            <w:r w:rsidRPr="00906A86">
              <w:rPr>
                <w:b/>
                <w:sz w:val="18"/>
                <w:szCs w:val="18"/>
              </w:rPr>
              <w:t xml:space="preserve">ikke i den aftalte kvalitet: </w:t>
            </w:r>
            <w:r w:rsidRPr="00906A86">
              <w:rPr>
                <w:sz w:val="18"/>
                <w:szCs w:val="18"/>
              </w:rPr>
              <w:t>Projekternes indbyrdes afhængigheder ift. at modtage og anvende data eller andre produkter leveret af et andet projekt gør såvel projekterne som programmet sårbar overfor leverancer, som af den ene eller anden grund ikke overholder specifikationerne. Dette kan betyde forsinkelser af både projekt o</w:t>
            </w:r>
            <w:r w:rsidR="004C0E31" w:rsidRPr="00906A86">
              <w:rPr>
                <w:sz w:val="18"/>
                <w:szCs w:val="18"/>
              </w:rPr>
              <w:t>g program og dårligere kvalitet</w:t>
            </w:r>
            <w:r w:rsidRPr="00906A86">
              <w:rPr>
                <w:sz w:val="18"/>
                <w:szCs w:val="18"/>
              </w:rPr>
              <w:t>. Hvis det ikke er muligt at udbedre kvalitetsbristen, kan det give kaskadeeffekter.</w:t>
            </w:r>
          </w:p>
        </w:tc>
        <w:tc>
          <w:tcPr>
            <w:tcW w:w="1241" w:type="dxa"/>
          </w:tcPr>
          <w:p w:rsidR="00CC0913" w:rsidRPr="00906A86" w:rsidRDefault="005141ED" w:rsidP="00906A86">
            <w:pPr>
              <w:jc w:val="center"/>
              <w:rPr>
                <w:sz w:val="18"/>
                <w:szCs w:val="18"/>
              </w:rPr>
            </w:pPr>
            <w:r>
              <w:rPr>
                <w:sz w:val="18"/>
                <w:szCs w:val="18"/>
              </w:rPr>
              <w:t>12</w:t>
            </w:r>
          </w:p>
        </w:tc>
      </w:tr>
    </w:tbl>
    <w:p w:rsidR="003B27BC" w:rsidRDefault="003B27BC" w:rsidP="003B27BC">
      <w:pPr>
        <w:rPr>
          <w:b/>
        </w:rPr>
      </w:pPr>
    </w:p>
    <w:p w:rsidR="003B27BC" w:rsidRPr="00BC6E57" w:rsidRDefault="00975281" w:rsidP="003B27BC">
      <w:pPr>
        <w:rPr>
          <w:b/>
        </w:rPr>
      </w:pPr>
      <w:r>
        <w:rPr>
          <w:b/>
        </w:rPr>
        <w:t>S</w:t>
      </w:r>
      <w:r w:rsidR="003B27BC">
        <w:rPr>
          <w:b/>
        </w:rPr>
        <w:t>tr</w:t>
      </w:r>
      <w:r w:rsidR="00CC0913">
        <w:rPr>
          <w:b/>
        </w:rPr>
        <w:t>ategier til håndtering af tre største</w:t>
      </w:r>
      <w:r w:rsidR="003B27BC">
        <w:rPr>
          <w:b/>
        </w:rPr>
        <w:t xml:space="preserve"> risici</w:t>
      </w:r>
    </w:p>
    <w:p w:rsidR="00F6150C" w:rsidRPr="00063A0F" w:rsidRDefault="00F6150C" w:rsidP="003B27BC">
      <w:pPr>
        <w:rPr>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5134"/>
        <w:gridCol w:w="1241"/>
      </w:tblGrid>
      <w:tr w:rsidR="00F6150C" w:rsidRPr="00906A86" w:rsidTr="00906A86">
        <w:trPr>
          <w:trHeight w:val="440"/>
        </w:trPr>
        <w:tc>
          <w:tcPr>
            <w:tcW w:w="1495" w:type="dxa"/>
            <w:vAlign w:val="center"/>
          </w:tcPr>
          <w:p w:rsidR="00F6150C" w:rsidRPr="00906A86" w:rsidRDefault="00AA46C7" w:rsidP="00906A86">
            <w:pPr>
              <w:spacing w:line="240" w:lineRule="auto"/>
              <w:rPr>
                <w:b/>
                <w:sz w:val="18"/>
                <w:szCs w:val="18"/>
              </w:rPr>
            </w:pPr>
            <w:r w:rsidRPr="00906A86">
              <w:rPr>
                <w:b/>
                <w:sz w:val="18"/>
                <w:szCs w:val="18"/>
              </w:rPr>
              <w:t>Risiko id,</w:t>
            </w:r>
            <w:r w:rsidR="00F4516F" w:rsidRPr="00906A86">
              <w:rPr>
                <w:b/>
                <w:sz w:val="18"/>
                <w:szCs w:val="18"/>
              </w:rPr>
              <w:t xml:space="preserve"> </w:t>
            </w:r>
            <w:r w:rsidRPr="00906A86">
              <w:rPr>
                <w:b/>
                <w:sz w:val="18"/>
                <w:szCs w:val="18"/>
              </w:rPr>
              <w:br/>
            </w:r>
            <w:r w:rsidR="00F4516F" w:rsidRPr="00906A86">
              <w:rPr>
                <w:b/>
                <w:sz w:val="18"/>
                <w:szCs w:val="18"/>
              </w:rPr>
              <w:t>jf. risikoanalyse</w:t>
            </w:r>
          </w:p>
        </w:tc>
        <w:tc>
          <w:tcPr>
            <w:tcW w:w="5134" w:type="dxa"/>
            <w:vAlign w:val="center"/>
          </w:tcPr>
          <w:p w:rsidR="00F6150C" w:rsidRPr="00906A86" w:rsidRDefault="00795BB8" w:rsidP="004C0E31">
            <w:pPr>
              <w:rPr>
                <w:b/>
                <w:sz w:val="18"/>
                <w:szCs w:val="18"/>
              </w:rPr>
            </w:pPr>
            <w:r w:rsidRPr="00906A86">
              <w:rPr>
                <w:b/>
                <w:sz w:val="18"/>
                <w:szCs w:val="18"/>
              </w:rPr>
              <w:t>Håndteringsstrategier</w:t>
            </w:r>
          </w:p>
        </w:tc>
        <w:tc>
          <w:tcPr>
            <w:tcW w:w="1241" w:type="dxa"/>
            <w:vAlign w:val="center"/>
          </w:tcPr>
          <w:p w:rsidR="00F6150C" w:rsidRPr="00906A86" w:rsidRDefault="00AA46C7" w:rsidP="00906A86">
            <w:pPr>
              <w:spacing w:line="240" w:lineRule="auto"/>
              <w:rPr>
                <w:b/>
                <w:sz w:val="18"/>
                <w:szCs w:val="18"/>
              </w:rPr>
            </w:pPr>
            <w:r w:rsidRPr="00906A86">
              <w:rPr>
                <w:b/>
                <w:sz w:val="18"/>
                <w:szCs w:val="18"/>
              </w:rPr>
              <w:t>Risikoværdi</w:t>
            </w:r>
            <w:r w:rsidR="00795BB8" w:rsidRPr="00906A86">
              <w:rPr>
                <w:b/>
                <w:sz w:val="18"/>
                <w:szCs w:val="18"/>
              </w:rPr>
              <w:t xml:space="preserve"> (reduceret)</w:t>
            </w:r>
          </w:p>
        </w:tc>
      </w:tr>
      <w:tr w:rsidR="007524BB" w:rsidRPr="00906A86" w:rsidTr="00906A86">
        <w:tc>
          <w:tcPr>
            <w:tcW w:w="1495" w:type="dxa"/>
          </w:tcPr>
          <w:p w:rsidR="007524BB" w:rsidRPr="00906A86" w:rsidRDefault="007524BB" w:rsidP="005C1F2F">
            <w:pPr>
              <w:rPr>
                <w:sz w:val="18"/>
                <w:szCs w:val="18"/>
              </w:rPr>
            </w:pPr>
            <w:r w:rsidRPr="00906A86">
              <w:rPr>
                <w:sz w:val="18"/>
                <w:szCs w:val="18"/>
              </w:rPr>
              <w:t>1</w:t>
            </w:r>
          </w:p>
        </w:tc>
        <w:tc>
          <w:tcPr>
            <w:tcW w:w="5134" w:type="dxa"/>
          </w:tcPr>
          <w:p w:rsidR="007524BB" w:rsidRPr="00906A86" w:rsidRDefault="003C404E" w:rsidP="00906A86">
            <w:pPr>
              <w:spacing w:line="240" w:lineRule="atLeast"/>
              <w:rPr>
                <w:sz w:val="18"/>
                <w:szCs w:val="18"/>
              </w:rPr>
            </w:pPr>
            <w:r w:rsidRPr="00906A86">
              <w:rPr>
                <w:sz w:val="18"/>
                <w:szCs w:val="18"/>
              </w:rPr>
              <w:t>Delp</w:t>
            </w:r>
            <w:r w:rsidR="007524BB" w:rsidRPr="00906A86">
              <w:rPr>
                <w:sz w:val="18"/>
                <w:szCs w:val="18"/>
              </w:rPr>
              <w:t>rogramledelsen gør grunddataprogrammet opmærksom på sagen og opfordrer til en fælles metodik. Forhandlinger indledes med F</w:t>
            </w:r>
            <w:r w:rsidR="00AA46C7" w:rsidRPr="00906A86">
              <w:rPr>
                <w:sz w:val="18"/>
                <w:szCs w:val="18"/>
              </w:rPr>
              <w:t>inansministeriet</w:t>
            </w:r>
            <w:r w:rsidR="00BA7893" w:rsidRPr="00906A86">
              <w:rPr>
                <w:sz w:val="18"/>
                <w:szCs w:val="18"/>
              </w:rPr>
              <w:t xml:space="preserve"> via DIGST</w:t>
            </w:r>
            <w:r w:rsidR="007524BB" w:rsidRPr="00906A86">
              <w:rPr>
                <w:sz w:val="18"/>
                <w:szCs w:val="18"/>
              </w:rPr>
              <w:t>.</w:t>
            </w:r>
          </w:p>
        </w:tc>
        <w:tc>
          <w:tcPr>
            <w:tcW w:w="1241" w:type="dxa"/>
          </w:tcPr>
          <w:p w:rsidR="007524BB" w:rsidRPr="00906A86" w:rsidRDefault="007524BB" w:rsidP="00906A86">
            <w:pPr>
              <w:jc w:val="center"/>
              <w:rPr>
                <w:sz w:val="18"/>
                <w:szCs w:val="18"/>
              </w:rPr>
            </w:pPr>
            <w:r w:rsidRPr="00906A86">
              <w:rPr>
                <w:sz w:val="18"/>
                <w:szCs w:val="18"/>
              </w:rPr>
              <w:t>4</w:t>
            </w:r>
          </w:p>
        </w:tc>
      </w:tr>
      <w:tr w:rsidR="00F6150C" w:rsidRPr="00906A86" w:rsidTr="00906A86">
        <w:tc>
          <w:tcPr>
            <w:tcW w:w="1495" w:type="dxa"/>
          </w:tcPr>
          <w:p w:rsidR="00F6150C" w:rsidRPr="00906A86" w:rsidRDefault="00F6150C" w:rsidP="005C1F2F">
            <w:pPr>
              <w:rPr>
                <w:sz w:val="18"/>
                <w:szCs w:val="18"/>
              </w:rPr>
            </w:pPr>
            <w:r w:rsidRPr="00906A86">
              <w:rPr>
                <w:sz w:val="18"/>
                <w:szCs w:val="18"/>
              </w:rPr>
              <w:t>2</w:t>
            </w:r>
            <w:r w:rsidR="00BA7893" w:rsidRPr="00906A86">
              <w:rPr>
                <w:sz w:val="18"/>
                <w:szCs w:val="18"/>
              </w:rPr>
              <w:t>0</w:t>
            </w:r>
          </w:p>
        </w:tc>
        <w:tc>
          <w:tcPr>
            <w:tcW w:w="5134" w:type="dxa"/>
          </w:tcPr>
          <w:p w:rsidR="00F6150C" w:rsidRPr="00906A86" w:rsidRDefault="009348DD" w:rsidP="00906A86">
            <w:pPr>
              <w:spacing w:line="240" w:lineRule="atLeast"/>
              <w:rPr>
                <w:sz w:val="18"/>
                <w:szCs w:val="18"/>
              </w:rPr>
            </w:pPr>
            <w:r w:rsidRPr="00906A86">
              <w:rPr>
                <w:sz w:val="18"/>
                <w:szCs w:val="18"/>
              </w:rPr>
              <w:t xml:space="preserve">Som følge af den høje sandsynlighed har GD1 og GD7 allerede haft en drøftelse og aftalt at risikoen for forsinkelse af datafordelen analyseres nærmere, når GD7 til efteråret 2013 har et bedre grundlag for at revurdere implementeringsplanen. Dette vil være tidsnok til at aftale evt. </w:t>
            </w:r>
            <w:r w:rsidR="00BA7893" w:rsidRPr="00906A86">
              <w:rPr>
                <w:sz w:val="18"/>
                <w:szCs w:val="18"/>
              </w:rPr>
              <w:t>korrigerende</w:t>
            </w:r>
            <w:r w:rsidRPr="00906A86">
              <w:rPr>
                <w:sz w:val="18"/>
                <w:szCs w:val="18"/>
              </w:rPr>
              <w:t xml:space="preserve"> handlinger i GD1. </w:t>
            </w:r>
          </w:p>
          <w:p w:rsidR="009348DD" w:rsidRPr="00906A86" w:rsidRDefault="009348DD" w:rsidP="00906A86">
            <w:pPr>
              <w:spacing w:line="240" w:lineRule="atLeast"/>
              <w:rPr>
                <w:sz w:val="18"/>
                <w:szCs w:val="18"/>
              </w:rPr>
            </w:pPr>
            <w:r w:rsidRPr="00906A86">
              <w:rPr>
                <w:sz w:val="18"/>
                <w:szCs w:val="18"/>
              </w:rPr>
              <w:t>Ved en kompleks forsinkelse forstås at forsinkelsen udover fortsat drift af eksisterende systemer (fx OIS, AWS og kortforsyningen) kræver afværgeforanstaltninger, hvor der udvikles funktionalitet mm. udenfor</w:t>
            </w:r>
            <w:r w:rsidR="00BA7893" w:rsidRPr="00906A86">
              <w:rPr>
                <w:sz w:val="18"/>
                <w:szCs w:val="18"/>
              </w:rPr>
              <w:t xml:space="preserve"> </w:t>
            </w:r>
            <w:r w:rsidRPr="00906A86">
              <w:rPr>
                <w:sz w:val="18"/>
                <w:szCs w:val="18"/>
              </w:rPr>
              <w:t>datafordelermiljøet.  Delprogrammet vil ved en kompleks forsinkelse skulle sikre at der udvikles erstatningsfunktionalitet i tilknytning til eksisterende systemer. Dette indebærer at alle program- og projektdokumenter bliver revideret ud fra de alternative forudsætninger, således at de faglige, tidsmæssige og økonomiske forhold er fuldt belyst og koordineret.</w:t>
            </w:r>
          </w:p>
        </w:tc>
        <w:tc>
          <w:tcPr>
            <w:tcW w:w="1241" w:type="dxa"/>
          </w:tcPr>
          <w:p w:rsidR="00F6150C" w:rsidRPr="00906A86" w:rsidRDefault="009348DD" w:rsidP="00906A86">
            <w:pPr>
              <w:jc w:val="center"/>
              <w:rPr>
                <w:sz w:val="18"/>
                <w:szCs w:val="18"/>
              </w:rPr>
            </w:pPr>
            <w:r w:rsidRPr="00906A86">
              <w:rPr>
                <w:sz w:val="18"/>
                <w:szCs w:val="18"/>
              </w:rPr>
              <w:t>4</w:t>
            </w:r>
          </w:p>
        </w:tc>
      </w:tr>
      <w:tr w:rsidR="00F6150C" w:rsidRPr="00906A86" w:rsidTr="00906A86">
        <w:tc>
          <w:tcPr>
            <w:tcW w:w="1495" w:type="dxa"/>
          </w:tcPr>
          <w:p w:rsidR="00F6150C" w:rsidRPr="00906A86" w:rsidRDefault="005334F3" w:rsidP="005C1F2F">
            <w:pPr>
              <w:rPr>
                <w:sz w:val="18"/>
                <w:szCs w:val="18"/>
              </w:rPr>
            </w:pPr>
            <w:r>
              <w:rPr>
                <w:sz w:val="18"/>
                <w:szCs w:val="18"/>
              </w:rPr>
              <w:t>9</w:t>
            </w:r>
          </w:p>
        </w:tc>
        <w:tc>
          <w:tcPr>
            <w:tcW w:w="5134" w:type="dxa"/>
          </w:tcPr>
          <w:p w:rsidR="005334F3" w:rsidRPr="005334F3" w:rsidRDefault="005334F3" w:rsidP="00906A86">
            <w:pPr>
              <w:spacing w:line="240" w:lineRule="atLeast"/>
              <w:rPr>
                <w:sz w:val="18"/>
                <w:szCs w:val="18"/>
              </w:rPr>
            </w:pPr>
            <w:r w:rsidRPr="005334F3">
              <w:rPr>
                <w:sz w:val="18"/>
                <w:szCs w:val="18"/>
              </w:rPr>
              <w:t>Implementeri</w:t>
            </w:r>
            <w:r>
              <w:rPr>
                <w:sz w:val="18"/>
                <w:szCs w:val="18"/>
              </w:rPr>
              <w:t>ngsplanen og tilhørende</w:t>
            </w:r>
            <w:r w:rsidRPr="005334F3">
              <w:rPr>
                <w:sz w:val="18"/>
                <w:szCs w:val="18"/>
              </w:rPr>
              <w:t xml:space="preserve"> bilag beskriver præcist de produkter, arbejdspakker og afhængigheder, som de enkelte projekter er ansvarlige for. </w:t>
            </w:r>
            <w:r>
              <w:rPr>
                <w:sz w:val="18"/>
                <w:szCs w:val="18"/>
              </w:rPr>
              <w:br/>
            </w:r>
            <w:r w:rsidRPr="005334F3">
              <w:rPr>
                <w:sz w:val="18"/>
                <w:szCs w:val="18"/>
              </w:rPr>
              <w:t>Programstyringen overvåger planens overholdelse. Implementeringsplan har indbygget buffer på 3 måneder (ikke disponeret tid), hvilket indebærer en vis robusthed overfor forsinkelser.</w:t>
            </w:r>
          </w:p>
          <w:p w:rsidR="00F6150C" w:rsidRPr="00906A86" w:rsidRDefault="005334F3" w:rsidP="00906A86">
            <w:pPr>
              <w:spacing w:line="240" w:lineRule="atLeast"/>
              <w:rPr>
                <w:sz w:val="18"/>
                <w:szCs w:val="18"/>
              </w:rPr>
            </w:pPr>
            <w:r w:rsidRPr="005334F3">
              <w:rPr>
                <w:sz w:val="18"/>
                <w:szCs w:val="18"/>
              </w:rPr>
              <w:t>Test- og kvalitetsstrategien bestemmer, at projekternes leverancer kvalitetssikres i tre faser af implementeringsforløbet: 1:</w:t>
            </w:r>
            <w:r>
              <w:rPr>
                <w:sz w:val="18"/>
                <w:szCs w:val="18"/>
              </w:rPr>
              <w:t xml:space="preserve"> Specifikationstests; 2: System</w:t>
            </w:r>
            <w:r w:rsidRPr="005334F3">
              <w:rPr>
                <w:sz w:val="18"/>
                <w:szCs w:val="18"/>
              </w:rPr>
              <w:t>test; 3: Forretning</w:t>
            </w:r>
            <w:r>
              <w:rPr>
                <w:sz w:val="18"/>
                <w:szCs w:val="18"/>
              </w:rPr>
              <w:t>stests i paralleldriftsfasen. Kvalitetssikring</w:t>
            </w:r>
            <w:r w:rsidRPr="005334F3">
              <w:rPr>
                <w:sz w:val="18"/>
                <w:szCs w:val="18"/>
              </w:rPr>
              <w:t xml:space="preserve"> af produktkvaliteten er centrale elementer i disse tests.</w:t>
            </w:r>
          </w:p>
        </w:tc>
        <w:tc>
          <w:tcPr>
            <w:tcW w:w="1241" w:type="dxa"/>
          </w:tcPr>
          <w:p w:rsidR="00F6150C" w:rsidRPr="00906A86" w:rsidRDefault="0005189D" w:rsidP="00906A86">
            <w:pPr>
              <w:jc w:val="center"/>
              <w:rPr>
                <w:sz w:val="18"/>
                <w:szCs w:val="18"/>
              </w:rPr>
            </w:pPr>
            <w:r w:rsidRPr="00906A86">
              <w:rPr>
                <w:sz w:val="18"/>
                <w:szCs w:val="18"/>
              </w:rPr>
              <w:t>4</w:t>
            </w:r>
          </w:p>
        </w:tc>
      </w:tr>
    </w:tbl>
    <w:p w:rsidR="003B27BC" w:rsidRDefault="003B27BC" w:rsidP="003B27BC"/>
    <w:p w:rsidR="003B27BC" w:rsidRPr="00BC6E57" w:rsidRDefault="00BD6EC9" w:rsidP="003B27BC">
      <w:pPr>
        <w:rPr>
          <w:b/>
        </w:rPr>
      </w:pPr>
      <w:r>
        <w:rPr>
          <w:b/>
        </w:rPr>
        <w:t>Særlige k</w:t>
      </w:r>
      <w:r w:rsidR="004A2768">
        <w:rPr>
          <w:b/>
        </w:rPr>
        <w:t>ommentarer til materialet</w:t>
      </w:r>
    </w:p>
    <w:p w:rsidR="00DD3D13" w:rsidRPr="006C7779" w:rsidRDefault="00B074D5" w:rsidP="00906A86">
      <w:r>
        <w:t>Der er indgået en ny samarbejdsmodel mellem delprogrammet og Tinglysningsretten i</w:t>
      </w:r>
      <w:r w:rsidR="00400AA2">
        <w:t xml:space="preserve"> forhold til</w:t>
      </w:r>
      <w:r>
        <w:t xml:space="preserve"> de vilkår for samarbejde, som lå til grund i den oprindelige aftale for projektsamarbejdet. Den nye samarbejdsmodel er beskrevet i </w:t>
      </w:r>
      <w:r w:rsidR="00A55991">
        <w:t xml:space="preserve">bilag </w:t>
      </w:r>
      <w:r w:rsidR="00A55991" w:rsidRPr="00906A86">
        <w:t>(</w:t>
      </w:r>
      <w:r w:rsidR="00400AA2" w:rsidRPr="00906A86">
        <w:t>27</w:t>
      </w:r>
      <w:r w:rsidR="00A55991" w:rsidRPr="00906A86">
        <w:t>)</w:t>
      </w:r>
      <w:r w:rsidR="009D707D" w:rsidRPr="00906A86">
        <w:t>.</w:t>
      </w:r>
      <w:r w:rsidR="00A55991" w:rsidRPr="00906A86">
        <w:t xml:space="preserve"> </w:t>
      </w:r>
    </w:p>
    <w:p w:rsidR="00036755" w:rsidRDefault="00036755" w:rsidP="003B27BC"/>
    <w:p w:rsidR="00607321" w:rsidRDefault="00607321" w:rsidP="003B27BC">
      <w:pPr>
        <w:rPr>
          <w:b/>
        </w:rPr>
      </w:pPr>
      <w:r w:rsidRPr="00607321">
        <w:rPr>
          <w:b/>
        </w:rPr>
        <w:t xml:space="preserve">Supplerende </w:t>
      </w:r>
      <w:r>
        <w:rPr>
          <w:b/>
        </w:rPr>
        <w:t xml:space="preserve">oplysninger og andet relevant </w:t>
      </w:r>
      <w:r w:rsidRPr="00607321">
        <w:rPr>
          <w:b/>
        </w:rPr>
        <w:t>materiale</w:t>
      </w:r>
    </w:p>
    <w:p w:rsidR="009D707D" w:rsidRDefault="009D707D" w:rsidP="003B27BC">
      <w:r>
        <w:t>Udover de obligatoriske projektdokumenter vedr. de tre projekter har d</w:t>
      </w:r>
      <w:r w:rsidR="004E2965">
        <w:t xml:space="preserve">elprogrammet </w:t>
      </w:r>
      <w:r w:rsidR="00FF4F4B">
        <w:t xml:space="preserve">udarbejdet en række dokumenter, som </w:t>
      </w:r>
      <w:r w:rsidR="004E2965">
        <w:t xml:space="preserve">i detaljer beskriver </w:t>
      </w:r>
      <w:r>
        <w:t xml:space="preserve">projekternes </w:t>
      </w:r>
      <w:r w:rsidR="004E2965">
        <w:t>fælles forståelse af d</w:t>
      </w:r>
      <w:r w:rsidR="00FF4F4B">
        <w:t xml:space="preserve">elprogrammets </w:t>
      </w:r>
      <w:r w:rsidR="004E2965">
        <w:t>mål</w:t>
      </w:r>
      <w:r w:rsidR="002605F8">
        <w:t>,</w:t>
      </w:r>
      <w:r w:rsidR="004E2965">
        <w:t xml:space="preserve"> og hvordan </w:t>
      </w:r>
      <w:r>
        <w:t xml:space="preserve">projekterne </w:t>
      </w:r>
      <w:r w:rsidR="002605F8">
        <w:t xml:space="preserve">i praksis vil </w:t>
      </w:r>
      <w:r w:rsidR="0046385A">
        <w:t xml:space="preserve">sikre </w:t>
      </w:r>
      <w:r w:rsidR="004E2965">
        <w:t xml:space="preserve">at </w:t>
      </w:r>
      <w:r w:rsidR="002605F8">
        <w:t>de fælles mål</w:t>
      </w:r>
      <w:r w:rsidR="0046385A">
        <w:t xml:space="preserve"> nås</w:t>
      </w:r>
      <w:r w:rsidR="004E2965">
        <w:t>.</w:t>
      </w:r>
    </w:p>
    <w:p w:rsidR="009D707D" w:rsidRDefault="009D707D" w:rsidP="003B27BC"/>
    <w:p w:rsidR="009D707D" w:rsidRDefault="003769F7" w:rsidP="003B27BC">
      <w:pPr>
        <w:rPr>
          <w:b/>
        </w:rPr>
      </w:pPr>
      <w:r w:rsidRPr="004C0E31">
        <w:rPr>
          <w:b/>
        </w:rPr>
        <w:t>Bilags</w:t>
      </w:r>
      <w:r>
        <w:rPr>
          <w:b/>
        </w:rPr>
        <w:t>oversigt</w:t>
      </w:r>
    </w:p>
    <w:p w:rsidR="006B10A9" w:rsidRDefault="006B10A9" w:rsidP="003B27BC">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7"/>
        <w:gridCol w:w="3897"/>
      </w:tblGrid>
      <w:tr w:rsidR="003769F7" w:rsidRPr="00906A86" w:rsidTr="00906A86">
        <w:tc>
          <w:tcPr>
            <w:tcW w:w="3897" w:type="dxa"/>
          </w:tcPr>
          <w:p w:rsidR="003769F7" w:rsidRPr="00906A86" w:rsidRDefault="003769F7" w:rsidP="004C0E31">
            <w:pPr>
              <w:autoSpaceDE w:val="0"/>
              <w:autoSpaceDN w:val="0"/>
              <w:rPr>
                <w:rFonts w:cs="Arial"/>
                <w:b/>
                <w:sz w:val="18"/>
                <w:szCs w:val="20"/>
              </w:rPr>
            </w:pPr>
            <w:r w:rsidRPr="00906A86">
              <w:rPr>
                <w:rFonts w:cs="Arial"/>
                <w:b/>
                <w:sz w:val="18"/>
                <w:szCs w:val="20"/>
              </w:rPr>
              <w:t>Projektdokumenter:</w:t>
            </w:r>
          </w:p>
          <w:p w:rsidR="003769F7" w:rsidRPr="00906A86" w:rsidRDefault="003769F7" w:rsidP="004C0E31">
            <w:pPr>
              <w:autoSpaceDE w:val="0"/>
              <w:autoSpaceDN w:val="0"/>
              <w:rPr>
                <w:rFonts w:cs="Arial"/>
                <w:sz w:val="20"/>
                <w:szCs w:val="20"/>
              </w:rPr>
            </w:pPr>
            <w:r w:rsidRPr="00906A86">
              <w:rPr>
                <w:rFonts w:cs="Arial"/>
                <w:sz w:val="20"/>
                <w:szCs w:val="20"/>
              </w:rPr>
              <w:t xml:space="preserve">Projekt </w:t>
            </w:r>
            <w:r w:rsidRPr="00906A86">
              <w:rPr>
                <w:rFonts w:cs="Arial"/>
                <w:i/>
                <w:sz w:val="20"/>
                <w:szCs w:val="20"/>
              </w:rPr>
              <w:t>Matriklens udvidelse: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Projektinitieringsdokument</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Risikotjekliste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Risikoanalyse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Kvalitetsplan</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Kommunikationsplan</w:t>
            </w:r>
          </w:p>
          <w:p w:rsidR="00EF50A0" w:rsidRDefault="00EF50A0" w:rsidP="00906A86">
            <w:pPr>
              <w:autoSpaceDE w:val="0"/>
              <w:autoSpaceDN w:val="0"/>
              <w:rPr>
                <w:rFonts w:cs="Arial"/>
                <w:sz w:val="20"/>
                <w:szCs w:val="20"/>
              </w:rPr>
            </w:pPr>
          </w:p>
          <w:p w:rsidR="003769F7" w:rsidRPr="00906A86" w:rsidRDefault="003769F7" w:rsidP="00906A86">
            <w:pPr>
              <w:autoSpaceDE w:val="0"/>
              <w:autoSpaceDN w:val="0"/>
              <w:rPr>
                <w:rFonts w:cs="Arial"/>
                <w:sz w:val="20"/>
                <w:szCs w:val="20"/>
              </w:rPr>
            </w:pPr>
            <w:r w:rsidRPr="00906A86">
              <w:rPr>
                <w:rFonts w:cs="Arial"/>
                <w:sz w:val="20"/>
                <w:szCs w:val="20"/>
              </w:rPr>
              <w:t xml:space="preserve">Projekt </w:t>
            </w:r>
            <w:r w:rsidRPr="00906A86">
              <w:rPr>
                <w:rFonts w:cs="Arial"/>
                <w:i/>
                <w:sz w:val="20"/>
                <w:szCs w:val="20"/>
              </w:rPr>
              <w:t>Udvidelse af BBR:</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Projektinitieringsdokument</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Risikotjekliste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Risikoanalyse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Kvalitetsplan</w:t>
            </w:r>
          </w:p>
          <w:p w:rsidR="00EF50A0" w:rsidRDefault="00EF50A0" w:rsidP="00906A86">
            <w:pPr>
              <w:autoSpaceDE w:val="0"/>
              <w:autoSpaceDN w:val="0"/>
              <w:rPr>
                <w:rFonts w:cs="Arial"/>
                <w:sz w:val="20"/>
                <w:szCs w:val="20"/>
              </w:rPr>
            </w:pPr>
          </w:p>
          <w:p w:rsidR="003769F7" w:rsidRPr="00906A86" w:rsidRDefault="003769F7" w:rsidP="00906A86">
            <w:pPr>
              <w:autoSpaceDE w:val="0"/>
              <w:autoSpaceDN w:val="0"/>
              <w:rPr>
                <w:rFonts w:cs="Arial"/>
                <w:sz w:val="20"/>
                <w:szCs w:val="20"/>
              </w:rPr>
            </w:pPr>
            <w:r w:rsidRPr="00906A86">
              <w:rPr>
                <w:rFonts w:cs="Arial"/>
                <w:sz w:val="20"/>
                <w:szCs w:val="20"/>
              </w:rPr>
              <w:t xml:space="preserve">Projekt </w:t>
            </w:r>
            <w:r w:rsidRPr="00906A86">
              <w:rPr>
                <w:rFonts w:cs="Arial"/>
                <w:i/>
                <w:sz w:val="20"/>
                <w:szCs w:val="20"/>
              </w:rPr>
              <w:t>Ny ejerfortegnelse og tilpasning af Tingbogen:</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Projektinitieringsdokument</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Risikotjekliste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Risikoanalyse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Kvalitetsplan</w:t>
            </w:r>
          </w:p>
          <w:p w:rsidR="003769F7" w:rsidRPr="00906A86" w:rsidRDefault="003769F7" w:rsidP="00906A86">
            <w:pPr>
              <w:autoSpaceDE w:val="0"/>
              <w:autoSpaceDN w:val="0"/>
              <w:rPr>
                <w:sz w:val="20"/>
                <w:szCs w:val="20"/>
              </w:rPr>
            </w:pPr>
          </w:p>
        </w:tc>
        <w:tc>
          <w:tcPr>
            <w:tcW w:w="3897" w:type="dxa"/>
          </w:tcPr>
          <w:p w:rsidR="003769F7" w:rsidRPr="00906A86" w:rsidRDefault="003769F7" w:rsidP="00906A86">
            <w:pPr>
              <w:autoSpaceDE w:val="0"/>
              <w:autoSpaceDN w:val="0"/>
              <w:spacing w:line="240" w:lineRule="auto"/>
              <w:rPr>
                <w:rFonts w:cs="Arial"/>
                <w:b/>
                <w:sz w:val="18"/>
                <w:szCs w:val="20"/>
              </w:rPr>
            </w:pPr>
            <w:r w:rsidRPr="00906A86">
              <w:rPr>
                <w:rFonts w:cs="Arial"/>
                <w:b/>
                <w:sz w:val="18"/>
                <w:szCs w:val="20"/>
              </w:rPr>
              <w:t>Delprogramdokumenter - fælles for</w:t>
            </w:r>
            <w:r w:rsidRPr="00906A86">
              <w:rPr>
                <w:rFonts w:cs="Arial"/>
                <w:b/>
                <w:sz w:val="18"/>
                <w:szCs w:val="20"/>
              </w:rPr>
              <w:br/>
              <w:t>projekterne:</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Cover</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Programstyringsdokument</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Risikoanalyse af delprogrammet</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Business case (BC)</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Forudsætningsdiagram til BC</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Læsevejledning til BC</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Ledelsesresume af BC</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 xml:space="preserve">Gevinstrealiseringsplan </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 xml:space="preserve">Gevinstmålingsark </w:t>
            </w:r>
          </w:p>
          <w:p w:rsidR="003769F7" w:rsidRPr="00906A86" w:rsidRDefault="00AA46C7" w:rsidP="00906A86">
            <w:pPr>
              <w:pStyle w:val="Listeafsnit"/>
              <w:numPr>
                <w:ilvl w:val="0"/>
                <w:numId w:val="5"/>
              </w:numPr>
              <w:autoSpaceDE w:val="0"/>
              <w:autoSpaceDN w:val="0"/>
              <w:rPr>
                <w:rFonts w:ascii="Garamond" w:hAnsi="Garamond" w:cs="Arial"/>
                <w:sz w:val="20"/>
                <w:szCs w:val="20"/>
              </w:rPr>
            </w:pPr>
            <w:r w:rsidRPr="004C0E31">
              <w:rPr>
                <w:rFonts w:ascii="Garamond" w:hAnsi="Garamond" w:cs="Arial"/>
                <w:sz w:val="20"/>
                <w:szCs w:val="20"/>
              </w:rPr>
              <w:t>Fælles implementeringsplan</w:t>
            </w:r>
          </w:p>
          <w:p w:rsidR="003769F7" w:rsidRPr="00906A86" w:rsidRDefault="003769F7" w:rsidP="004C0E31">
            <w:pPr>
              <w:autoSpaceDE w:val="0"/>
              <w:autoSpaceDN w:val="0"/>
              <w:rPr>
                <w:rFonts w:cs="Arial"/>
                <w:sz w:val="20"/>
                <w:szCs w:val="20"/>
              </w:rPr>
            </w:pPr>
          </w:p>
          <w:p w:rsidR="003769F7" w:rsidRPr="00906A86" w:rsidRDefault="003769F7" w:rsidP="00906A86">
            <w:pPr>
              <w:autoSpaceDE w:val="0"/>
              <w:autoSpaceDN w:val="0"/>
              <w:spacing w:line="240" w:lineRule="auto"/>
              <w:rPr>
                <w:rFonts w:cs="Arial"/>
                <w:b/>
                <w:sz w:val="18"/>
                <w:szCs w:val="20"/>
              </w:rPr>
            </w:pPr>
            <w:r w:rsidRPr="00906A86">
              <w:rPr>
                <w:rFonts w:cs="Arial"/>
                <w:b/>
                <w:sz w:val="18"/>
                <w:szCs w:val="20"/>
              </w:rPr>
              <w:t xml:space="preserve">Øvrige dokumenter </w:t>
            </w:r>
            <w:r w:rsidR="00EF50A0" w:rsidRPr="00906A86">
              <w:rPr>
                <w:rFonts w:cs="Arial"/>
                <w:b/>
                <w:sz w:val="18"/>
                <w:szCs w:val="20"/>
              </w:rPr>
              <w:t xml:space="preserve">vedr. </w:t>
            </w:r>
            <w:r w:rsidRPr="00906A86">
              <w:rPr>
                <w:rFonts w:cs="Arial"/>
                <w:b/>
                <w:sz w:val="18"/>
                <w:szCs w:val="20"/>
              </w:rPr>
              <w:t>delprogrammet styringsmæssige set-up:</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Fælles målarkitektur</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 xml:space="preserve">Test- og kvalitetsstrategi </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Dataharmoniseringsstrategi</w:t>
            </w:r>
          </w:p>
          <w:p w:rsidR="003769F7" w:rsidRPr="00906A86" w:rsidRDefault="003769F7" w:rsidP="00906A86">
            <w:pPr>
              <w:pStyle w:val="Listeafsnit"/>
              <w:numPr>
                <w:ilvl w:val="0"/>
                <w:numId w:val="5"/>
              </w:numPr>
              <w:autoSpaceDE w:val="0"/>
              <w:autoSpaceDN w:val="0"/>
              <w:rPr>
                <w:rFonts w:ascii="Garamond" w:hAnsi="Garamond" w:cs="Arial"/>
                <w:sz w:val="20"/>
                <w:szCs w:val="20"/>
              </w:rPr>
            </w:pPr>
            <w:r w:rsidRPr="00906A86">
              <w:rPr>
                <w:rFonts w:ascii="Garamond" w:hAnsi="Garamond" w:cs="Arial"/>
                <w:sz w:val="20"/>
                <w:szCs w:val="20"/>
              </w:rPr>
              <w:t>Aftale om ny samarbejdsmodel for Tinglysningsrettens deltagelse i Ejendomsdataprogrammet</w:t>
            </w:r>
          </w:p>
          <w:p w:rsidR="003769F7" w:rsidRPr="00906A86" w:rsidRDefault="003769F7" w:rsidP="004C0E31">
            <w:pPr>
              <w:autoSpaceDE w:val="0"/>
              <w:autoSpaceDN w:val="0"/>
              <w:rPr>
                <w:sz w:val="20"/>
                <w:szCs w:val="20"/>
              </w:rPr>
            </w:pPr>
          </w:p>
        </w:tc>
      </w:tr>
    </w:tbl>
    <w:p w:rsidR="00CB19C1" w:rsidRDefault="00B971BC" w:rsidP="009D707D">
      <w:pPr>
        <w:autoSpaceDE w:val="0"/>
        <w:autoSpaceDN w:val="0"/>
      </w:pPr>
      <w:r>
        <w:t xml:space="preserve">I øvrigt er vedlagt </w:t>
      </w:r>
      <w:r w:rsidR="00EF61CB">
        <w:t>oversigter over projekternes organisering (bilag 28) samt anvendte fork</w:t>
      </w:r>
      <w:r w:rsidR="00AF64A5">
        <w:t xml:space="preserve">ortelser og begreber (bilag 29). For overblikkets skyld anbefales det at læse bilag 28 og 15 inden projektdokumentationen. </w:t>
      </w:r>
    </w:p>
    <w:p w:rsidR="00400AA2" w:rsidRDefault="00400AA2" w:rsidP="009D707D">
      <w:pPr>
        <w:autoSpaceDE w:val="0"/>
        <w:autoSpaceDN w:val="0"/>
      </w:pPr>
    </w:p>
    <w:p w:rsidR="00AF64A5" w:rsidRDefault="00AF64A5" w:rsidP="009D707D">
      <w:pPr>
        <w:autoSpaceDE w:val="0"/>
        <w:autoSpaceDN w:val="0"/>
      </w:pPr>
    </w:p>
    <w:p w:rsidR="009D707D" w:rsidRDefault="009D707D" w:rsidP="009D707D">
      <w:pPr>
        <w:autoSpaceDE w:val="0"/>
        <w:autoSpaceDN w:val="0"/>
        <w:rPr>
          <w:rFonts w:ascii="Arial" w:hAnsi="Arial" w:cs="Arial"/>
          <w:color w:val="376092"/>
          <w:sz w:val="20"/>
          <w:szCs w:val="20"/>
        </w:rPr>
      </w:pPr>
    </w:p>
    <w:p w:rsidR="003D07E2" w:rsidRDefault="003D07E2" w:rsidP="003D07E2">
      <w:r>
        <w:t>Udarbejdet af:</w:t>
      </w:r>
    </w:p>
    <w:p w:rsidR="003D07E2" w:rsidRPr="00E17448" w:rsidRDefault="00E17448" w:rsidP="003D07E2">
      <w:r w:rsidRPr="00E17448">
        <w:t>Peter Lindbo Larsen, programleder</w:t>
      </w:r>
    </w:p>
    <w:p w:rsidR="003D07E2" w:rsidRDefault="003D07E2" w:rsidP="003D07E2"/>
    <w:p w:rsidR="003D07E2" w:rsidRDefault="003D07E2" w:rsidP="003D07E2">
      <w:r>
        <w:t>Godkendt af:</w:t>
      </w:r>
    </w:p>
    <w:p w:rsidR="003D07E2" w:rsidRPr="00643A10" w:rsidRDefault="00E86757" w:rsidP="003D07E2">
      <w:r>
        <w:t xml:space="preserve">Formand for styregruppen </w:t>
      </w:r>
      <w:r w:rsidR="00E17448">
        <w:t>Søren Rude, kontorchef</w:t>
      </w:r>
      <w:r>
        <w:t xml:space="preserve"> MBBL</w:t>
      </w:r>
    </w:p>
    <w:sectPr w:rsidR="003D07E2" w:rsidRPr="00643A10" w:rsidSect="00906A86">
      <w:headerReference w:type="default" r:id="rId8"/>
      <w:type w:val="continuous"/>
      <w:pgSz w:w="11907" w:h="16840" w:code="9"/>
      <w:pgMar w:top="2381" w:right="2835" w:bottom="993" w:left="1418" w:header="23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DB2" w:rsidRDefault="00CE7DB2">
      <w:r>
        <w:separator/>
      </w:r>
    </w:p>
  </w:endnote>
  <w:endnote w:type="continuationSeparator" w:id="0">
    <w:p w:rsidR="00CE7DB2" w:rsidRDefault="00CE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DB2" w:rsidRDefault="00CE7DB2">
      <w:r>
        <w:separator/>
      </w:r>
    </w:p>
  </w:footnote>
  <w:footnote w:type="continuationSeparator" w:id="0">
    <w:p w:rsidR="00CE7DB2" w:rsidRDefault="00CE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B99" w:rsidRPr="00036755" w:rsidRDefault="00347B99" w:rsidP="00036755">
    <w:pPr>
      <w:pStyle w:val="Sidehoved"/>
      <w:tabs>
        <w:tab w:val="clear" w:pos="4819"/>
        <w:tab w:val="clear" w:pos="9638"/>
        <w:tab w:val="left" w:pos="7881"/>
      </w:tabs>
    </w:pPr>
    <w:r>
      <w:tab/>
      <w:t xml:space="preserve">Side </w:t>
    </w:r>
    <w:r>
      <w:rPr>
        <w:rStyle w:val="Sidetal"/>
      </w:rPr>
      <w:fldChar w:fldCharType="begin"/>
    </w:r>
    <w:r>
      <w:rPr>
        <w:rStyle w:val="Sidetal"/>
      </w:rPr>
      <w:instrText xml:space="preserve"> PAGE </w:instrText>
    </w:r>
    <w:r>
      <w:rPr>
        <w:rStyle w:val="Sidetal"/>
      </w:rPr>
      <w:fldChar w:fldCharType="separate"/>
    </w:r>
    <w:r w:rsidR="00904270">
      <w:rPr>
        <w:rStyle w:val="Sidetal"/>
        <w:noProof/>
      </w:rPr>
      <w:t>1</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904270">
      <w:rPr>
        <w:rStyle w:val="Sidetal"/>
        <w:noProof/>
      </w:rPr>
      <w:t>3</w:t>
    </w:r>
    <w:r>
      <w:rPr>
        <w:rStyle w:val="Sidet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2EF8"/>
    <w:multiLevelType w:val="hybridMultilevel"/>
    <w:tmpl w:val="37B8D5D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52E00D4"/>
    <w:multiLevelType w:val="hybridMultilevel"/>
    <w:tmpl w:val="0682F0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2EA7702B"/>
    <w:multiLevelType w:val="hybridMultilevel"/>
    <w:tmpl w:val="00EA71F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016419"/>
    <w:multiLevelType w:val="hybridMultilevel"/>
    <w:tmpl w:val="C2DAA8A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647C2AA5"/>
    <w:multiLevelType w:val="hybridMultilevel"/>
    <w:tmpl w:val="499681E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CB57AF"/>
    <w:multiLevelType w:val="hybridMultilevel"/>
    <w:tmpl w:val="5B4CEE8C"/>
    <w:lvl w:ilvl="0" w:tplc="0406000F">
      <w:start w:val="1"/>
      <w:numFmt w:val="decimal"/>
      <w:lvlText w:val="%1."/>
      <w:lvlJc w:val="left"/>
      <w:pPr>
        <w:ind w:left="780" w:hanging="360"/>
      </w:pPr>
    </w:lvl>
    <w:lvl w:ilvl="1" w:tplc="04060019">
      <w:start w:val="1"/>
      <w:numFmt w:val="lowerLetter"/>
      <w:lvlText w:val="%2."/>
      <w:lvlJc w:val="left"/>
      <w:pPr>
        <w:ind w:left="1500" w:hanging="360"/>
      </w:pPr>
    </w:lvl>
    <w:lvl w:ilvl="2" w:tplc="0406001B" w:tentative="1">
      <w:start w:val="1"/>
      <w:numFmt w:val="lowerRoman"/>
      <w:lvlText w:val="%3."/>
      <w:lvlJc w:val="right"/>
      <w:pPr>
        <w:ind w:left="2220" w:hanging="180"/>
      </w:pPr>
    </w:lvl>
    <w:lvl w:ilvl="3" w:tplc="0406000F" w:tentative="1">
      <w:start w:val="1"/>
      <w:numFmt w:val="decimal"/>
      <w:lvlText w:val="%4."/>
      <w:lvlJc w:val="left"/>
      <w:pPr>
        <w:ind w:left="2940" w:hanging="360"/>
      </w:pPr>
    </w:lvl>
    <w:lvl w:ilvl="4" w:tplc="04060019" w:tentative="1">
      <w:start w:val="1"/>
      <w:numFmt w:val="lowerLetter"/>
      <w:lvlText w:val="%5."/>
      <w:lvlJc w:val="left"/>
      <w:pPr>
        <w:ind w:left="3660" w:hanging="360"/>
      </w:pPr>
    </w:lvl>
    <w:lvl w:ilvl="5" w:tplc="0406001B" w:tentative="1">
      <w:start w:val="1"/>
      <w:numFmt w:val="lowerRoman"/>
      <w:lvlText w:val="%6."/>
      <w:lvlJc w:val="right"/>
      <w:pPr>
        <w:ind w:left="4380" w:hanging="180"/>
      </w:pPr>
    </w:lvl>
    <w:lvl w:ilvl="6" w:tplc="0406000F" w:tentative="1">
      <w:start w:val="1"/>
      <w:numFmt w:val="decimal"/>
      <w:lvlText w:val="%7."/>
      <w:lvlJc w:val="left"/>
      <w:pPr>
        <w:ind w:left="5100" w:hanging="360"/>
      </w:pPr>
    </w:lvl>
    <w:lvl w:ilvl="7" w:tplc="04060019" w:tentative="1">
      <w:start w:val="1"/>
      <w:numFmt w:val="lowerLetter"/>
      <w:lvlText w:val="%8."/>
      <w:lvlJc w:val="left"/>
      <w:pPr>
        <w:ind w:left="5820" w:hanging="360"/>
      </w:pPr>
    </w:lvl>
    <w:lvl w:ilvl="8" w:tplc="0406001B" w:tentative="1">
      <w:start w:val="1"/>
      <w:numFmt w:val="lowerRoman"/>
      <w:lvlText w:val="%9."/>
      <w:lvlJc w:val="right"/>
      <w:pPr>
        <w:ind w:left="6540" w:hanging="180"/>
      </w:pPr>
    </w:lvl>
  </w:abstractNum>
  <w:num w:numId="1">
    <w:abstractNumId w:val="2"/>
  </w:num>
  <w:num w:numId="2">
    <w:abstractNumId w:val="4"/>
  </w:num>
  <w:num w:numId="3">
    <w:abstractNumId w:val="0"/>
  </w:num>
  <w:num w:numId="4">
    <w:abstractNumId w:val="5"/>
  </w:num>
  <w:num w:numId="5">
    <w:abstractNumId w:val="1"/>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BC"/>
    <w:rsid w:val="00003923"/>
    <w:rsid w:val="00030E7B"/>
    <w:rsid w:val="00036755"/>
    <w:rsid w:val="0005189D"/>
    <w:rsid w:val="00063A0F"/>
    <w:rsid w:val="000718C4"/>
    <w:rsid w:val="00083A6D"/>
    <w:rsid w:val="000A2C64"/>
    <w:rsid w:val="000A2E6E"/>
    <w:rsid w:val="000B5899"/>
    <w:rsid w:val="000C2AFF"/>
    <w:rsid w:val="000D0680"/>
    <w:rsid w:val="000D5E34"/>
    <w:rsid w:val="000F4045"/>
    <w:rsid w:val="00111DF8"/>
    <w:rsid w:val="001128CF"/>
    <w:rsid w:val="00112C20"/>
    <w:rsid w:val="00116C36"/>
    <w:rsid w:val="001221C9"/>
    <w:rsid w:val="001278E2"/>
    <w:rsid w:val="001362D3"/>
    <w:rsid w:val="00146180"/>
    <w:rsid w:val="00146DE0"/>
    <w:rsid w:val="00153F2E"/>
    <w:rsid w:val="0015490E"/>
    <w:rsid w:val="00155BA4"/>
    <w:rsid w:val="001609B2"/>
    <w:rsid w:val="00170C44"/>
    <w:rsid w:val="00170F8E"/>
    <w:rsid w:val="0017108E"/>
    <w:rsid w:val="00171EFE"/>
    <w:rsid w:val="00177851"/>
    <w:rsid w:val="00185155"/>
    <w:rsid w:val="00185D10"/>
    <w:rsid w:val="001A03FB"/>
    <w:rsid w:val="001A1553"/>
    <w:rsid w:val="001A6523"/>
    <w:rsid w:val="001B2B7B"/>
    <w:rsid w:val="001B3882"/>
    <w:rsid w:val="001C4360"/>
    <w:rsid w:val="001E03CF"/>
    <w:rsid w:val="001F1E9B"/>
    <w:rsid w:val="001F2C84"/>
    <w:rsid w:val="001F679E"/>
    <w:rsid w:val="00203EEE"/>
    <w:rsid w:val="0021218A"/>
    <w:rsid w:val="00221CA3"/>
    <w:rsid w:val="00226E27"/>
    <w:rsid w:val="002321B4"/>
    <w:rsid w:val="00242F8D"/>
    <w:rsid w:val="002453D4"/>
    <w:rsid w:val="002605F8"/>
    <w:rsid w:val="002938C5"/>
    <w:rsid w:val="002A5BA0"/>
    <w:rsid w:val="002A786E"/>
    <w:rsid w:val="002D3946"/>
    <w:rsid w:val="002E4DE5"/>
    <w:rsid w:val="002F601C"/>
    <w:rsid w:val="0032081F"/>
    <w:rsid w:val="00340679"/>
    <w:rsid w:val="00341E7C"/>
    <w:rsid w:val="003446DC"/>
    <w:rsid w:val="00347B99"/>
    <w:rsid w:val="00357DB5"/>
    <w:rsid w:val="0037071B"/>
    <w:rsid w:val="003769F7"/>
    <w:rsid w:val="00394026"/>
    <w:rsid w:val="003A2822"/>
    <w:rsid w:val="003A6AE5"/>
    <w:rsid w:val="003B0D38"/>
    <w:rsid w:val="003B27BC"/>
    <w:rsid w:val="003C265A"/>
    <w:rsid w:val="003C2F41"/>
    <w:rsid w:val="003C404E"/>
    <w:rsid w:val="003C6CA0"/>
    <w:rsid w:val="003C7A67"/>
    <w:rsid w:val="003C7D25"/>
    <w:rsid w:val="003D07E2"/>
    <w:rsid w:val="003E374A"/>
    <w:rsid w:val="003E59BC"/>
    <w:rsid w:val="003E6A91"/>
    <w:rsid w:val="003F54F0"/>
    <w:rsid w:val="00400AA2"/>
    <w:rsid w:val="00414F0A"/>
    <w:rsid w:val="00423DE3"/>
    <w:rsid w:val="0045089C"/>
    <w:rsid w:val="00460523"/>
    <w:rsid w:val="0046385A"/>
    <w:rsid w:val="00470CE1"/>
    <w:rsid w:val="00472B2B"/>
    <w:rsid w:val="00474208"/>
    <w:rsid w:val="004800E3"/>
    <w:rsid w:val="004A2768"/>
    <w:rsid w:val="004A7259"/>
    <w:rsid w:val="004C0E31"/>
    <w:rsid w:val="004D6193"/>
    <w:rsid w:val="004E2965"/>
    <w:rsid w:val="004E4A34"/>
    <w:rsid w:val="00511FCC"/>
    <w:rsid w:val="005141ED"/>
    <w:rsid w:val="00514B31"/>
    <w:rsid w:val="00517A1D"/>
    <w:rsid w:val="00520867"/>
    <w:rsid w:val="005334F3"/>
    <w:rsid w:val="00537AD3"/>
    <w:rsid w:val="005514A0"/>
    <w:rsid w:val="00552DDD"/>
    <w:rsid w:val="00561D03"/>
    <w:rsid w:val="005660AE"/>
    <w:rsid w:val="0057172A"/>
    <w:rsid w:val="005762D4"/>
    <w:rsid w:val="005809D5"/>
    <w:rsid w:val="005825B7"/>
    <w:rsid w:val="0058266B"/>
    <w:rsid w:val="00587C64"/>
    <w:rsid w:val="005A07F5"/>
    <w:rsid w:val="005A3160"/>
    <w:rsid w:val="005A4CBA"/>
    <w:rsid w:val="005A65B1"/>
    <w:rsid w:val="005B1ADB"/>
    <w:rsid w:val="005C1F2F"/>
    <w:rsid w:val="005D0F88"/>
    <w:rsid w:val="005D2F46"/>
    <w:rsid w:val="005D3A35"/>
    <w:rsid w:val="005E37CE"/>
    <w:rsid w:val="005E55FA"/>
    <w:rsid w:val="005F113C"/>
    <w:rsid w:val="005F4961"/>
    <w:rsid w:val="005F7B3C"/>
    <w:rsid w:val="0060373C"/>
    <w:rsid w:val="00605EC9"/>
    <w:rsid w:val="00607321"/>
    <w:rsid w:val="00635ACA"/>
    <w:rsid w:val="00635E0B"/>
    <w:rsid w:val="00637049"/>
    <w:rsid w:val="00643A10"/>
    <w:rsid w:val="00643BF9"/>
    <w:rsid w:val="00660DCB"/>
    <w:rsid w:val="006656F7"/>
    <w:rsid w:val="00665E01"/>
    <w:rsid w:val="00680DCB"/>
    <w:rsid w:val="00697DB2"/>
    <w:rsid w:val="006A6D76"/>
    <w:rsid w:val="006B10A9"/>
    <w:rsid w:val="006B4C8D"/>
    <w:rsid w:val="006B688F"/>
    <w:rsid w:val="006C419D"/>
    <w:rsid w:val="006C7779"/>
    <w:rsid w:val="006D2648"/>
    <w:rsid w:val="006D5384"/>
    <w:rsid w:val="006E1A7D"/>
    <w:rsid w:val="00702E06"/>
    <w:rsid w:val="00734B09"/>
    <w:rsid w:val="00737944"/>
    <w:rsid w:val="00747868"/>
    <w:rsid w:val="0075172C"/>
    <w:rsid w:val="007524BB"/>
    <w:rsid w:val="00753F62"/>
    <w:rsid w:val="00762DE2"/>
    <w:rsid w:val="00795BB8"/>
    <w:rsid w:val="007972F0"/>
    <w:rsid w:val="00797CA7"/>
    <w:rsid w:val="007A716F"/>
    <w:rsid w:val="007B6AFA"/>
    <w:rsid w:val="007C520D"/>
    <w:rsid w:val="007D0682"/>
    <w:rsid w:val="007E2DB8"/>
    <w:rsid w:val="007F75CE"/>
    <w:rsid w:val="00810E16"/>
    <w:rsid w:val="0081508C"/>
    <w:rsid w:val="00822148"/>
    <w:rsid w:val="00823FCA"/>
    <w:rsid w:val="00881BF0"/>
    <w:rsid w:val="0088677C"/>
    <w:rsid w:val="00887F2E"/>
    <w:rsid w:val="00887FD2"/>
    <w:rsid w:val="008A3C59"/>
    <w:rsid w:val="008B07FC"/>
    <w:rsid w:val="008B3B06"/>
    <w:rsid w:val="008D26C7"/>
    <w:rsid w:val="008E4147"/>
    <w:rsid w:val="008F7DDA"/>
    <w:rsid w:val="009002ED"/>
    <w:rsid w:val="00904270"/>
    <w:rsid w:val="009059C2"/>
    <w:rsid w:val="00905A91"/>
    <w:rsid w:val="00906A86"/>
    <w:rsid w:val="009163C1"/>
    <w:rsid w:val="0092408C"/>
    <w:rsid w:val="00924DA0"/>
    <w:rsid w:val="009272C3"/>
    <w:rsid w:val="009348DD"/>
    <w:rsid w:val="009367C6"/>
    <w:rsid w:val="00953E82"/>
    <w:rsid w:val="009600C4"/>
    <w:rsid w:val="009651A1"/>
    <w:rsid w:val="00970FCE"/>
    <w:rsid w:val="00975281"/>
    <w:rsid w:val="009831DD"/>
    <w:rsid w:val="0099008C"/>
    <w:rsid w:val="00995A23"/>
    <w:rsid w:val="00995D9C"/>
    <w:rsid w:val="00997F2A"/>
    <w:rsid w:val="009A36C0"/>
    <w:rsid w:val="009A52A0"/>
    <w:rsid w:val="009A7B57"/>
    <w:rsid w:val="009B26B9"/>
    <w:rsid w:val="009B467B"/>
    <w:rsid w:val="009C5672"/>
    <w:rsid w:val="009C6735"/>
    <w:rsid w:val="009D0A86"/>
    <w:rsid w:val="009D5EEC"/>
    <w:rsid w:val="009D63BA"/>
    <w:rsid w:val="009D688B"/>
    <w:rsid w:val="009D707D"/>
    <w:rsid w:val="009E5557"/>
    <w:rsid w:val="009E6F46"/>
    <w:rsid w:val="009F285C"/>
    <w:rsid w:val="009F4AF2"/>
    <w:rsid w:val="00A000F6"/>
    <w:rsid w:val="00A01E57"/>
    <w:rsid w:val="00A05031"/>
    <w:rsid w:val="00A21B61"/>
    <w:rsid w:val="00A23E8A"/>
    <w:rsid w:val="00A2585A"/>
    <w:rsid w:val="00A40E5E"/>
    <w:rsid w:val="00A4650E"/>
    <w:rsid w:val="00A478C1"/>
    <w:rsid w:val="00A55991"/>
    <w:rsid w:val="00A6202E"/>
    <w:rsid w:val="00A62D36"/>
    <w:rsid w:val="00A66613"/>
    <w:rsid w:val="00A90C3C"/>
    <w:rsid w:val="00A91D87"/>
    <w:rsid w:val="00AA25A0"/>
    <w:rsid w:val="00AA46C7"/>
    <w:rsid w:val="00AC2B4A"/>
    <w:rsid w:val="00AC5F38"/>
    <w:rsid w:val="00AC69BF"/>
    <w:rsid w:val="00AD33A6"/>
    <w:rsid w:val="00AD6BD1"/>
    <w:rsid w:val="00AF37B8"/>
    <w:rsid w:val="00AF5661"/>
    <w:rsid w:val="00AF64A5"/>
    <w:rsid w:val="00B06650"/>
    <w:rsid w:val="00B074D5"/>
    <w:rsid w:val="00B10D11"/>
    <w:rsid w:val="00B13DDA"/>
    <w:rsid w:val="00B145FC"/>
    <w:rsid w:val="00B25141"/>
    <w:rsid w:val="00B2779E"/>
    <w:rsid w:val="00B315A0"/>
    <w:rsid w:val="00B33F79"/>
    <w:rsid w:val="00B356DB"/>
    <w:rsid w:val="00B36722"/>
    <w:rsid w:val="00B37A88"/>
    <w:rsid w:val="00B50CDA"/>
    <w:rsid w:val="00B53438"/>
    <w:rsid w:val="00B5520B"/>
    <w:rsid w:val="00B56FE9"/>
    <w:rsid w:val="00B67DCD"/>
    <w:rsid w:val="00B72822"/>
    <w:rsid w:val="00B76FC2"/>
    <w:rsid w:val="00B83A46"/>
    <w:rsid w:val="00B85ECC"/>
    <w:rsid w:val="00B971BC"/>
    <w:rsid w:val="00BA12B3"/>
    <w:rsid w:val="00BA1559"/>
    <w:rsid w:val="00BA39D1"/>
    <w:rsid w:val="00BA5575"/>
    <w:rsid w:val="00BA7893"/>
    <w:rsid w:val="00BB0936"/>
    <w:rsid w:val="00BB18EA"/>
    <w:rsid w:val="00BD45B6"/>
    <w:rsid w:val="00BD6EC9"/>
    <w:rsid w:val="00C00DB4"/>
    <w:rsid w:val="00C014BE"/>
    <w:rsid w:val="00C15756"/>
    <w:rsid w:val="00C27639"/>
    <w:rsid w:val="00C366C9"/>
    <w:rsid w:val="00C371BF"/>
    <w:rsid w:val="00C45E9D"/>
    <w:rsid w:val="00C8202A"/>
    <w:rsid w:val="00CA71E4"/>
    <w:rsid w:val="00CB19C1"/>
    <w:rsid w:val="00CB5D6F"/>
    <w:rsid w:val="00CB6343"/>
    <w:rsid w:val="00CC0913"/>
    <w:rsid w:val="00CC2B34"/>
    <w:rsid w:val="00CC2ECB"/>
    <w:rsid w:val="00CC3D94"/>
    <w:rsid w:val="00CE22B4"/>
    <w:rsid w:val="00CE7DB2"/>
    <w:rsid w:val="00CF11B5"/>
    <w:rsid w:val="00CF4E60"/>
    <w:rsid w:val="00D07388"/>
    <w:rsid w:val="00D2297E"/>
    <w:rsid w:val="00D24C37"/>
    <w:rsid w:val="00D519D8"/>
    <w:rsid w:val="00D52115"/>
    <w:rsid w:val="00D576AB"/>
    <w:rsid w:val="00D6097E"/>
    <w:rsid w:val="00D64D8F"/>
    <w:rsid w:val="00D65850"/>
    <w:rsid w:val="00D77D59"/>
    <w:rsid w:val="00D84685"/>
    <w:rsid w:val="00D85757"/>
    <w:rsid w:val="00D87ABD"/>
    <w:rsid w:val="00D91AAE"/>
    <w:rsid w:val="00D92E13"/>
    <w:rsid w:val="00D93204"/>
    <w:rsid w:val="00D96C2D"/>
    <w:rsid w:val="00DA1C4A"/>
    <w:rsid w:val="00DB1573"/>
    <w:rsid w:val="00DC1730"/>
    <w:rsid w:val="00DC7AD5"/>
    <w:rsid w:val="00DD1A36"/>
    <w:rsid w:val="00DD3D13"/>
    <w:rsid w:val="00DD74EE"/>
    <w:rsid w:val="00DD77A3"/>
    <w:rsid w:val="00DE03E7"/>
    <w:rsid w:val="00DE1212"/>
    <w:rsid w:val="00DE7801"/>
    <w:rsid w:val="00DF092F"/>
    <w:rsid w:val="00DF3B69"/>
    <w:rsid w:val="00DF411A"/>
    <w:rsid w:val="00E04F65"/>
    <w:rsid w:val="00E10A43"/>
    <w:rsid w:val="00E1383B"/>
    <w:rsid w:val="00E152C4"/>
    <w:rsid w:val="00E17448"/>
    <w:rsid w:val="00E27713"/>
    <w:rsid w:val="00E334B8"/>
    <w:rsid w:val="00E42F9C"/>
    <w:rsid w:val="00E530AE"/>
    <w:rsid w:val="00E62D60"/>
    <w:rsid w:val="00E8043E"/>
    <w:rsid w:val="00E831EF"/>
    <w:rsid w:val="00E8460E"/>
    <w:rsid w:val="00E86757"/>
    <w:rsid w:val="00E934D0"/>
    <w:rsid w:val="00EB4E9A"/>
    <w:rsid w:val="00EC779C"/>
    <w:rsid w:val="00ED1634"/>
    <w:rsid w:val="00ED3BF9"/>
    <w:rsid w:val="00ED6557"/>
    <w:rsid w:val="00EE4980"/>
    <w:rsid w:val="00EF3CBA"/>
    <w:rsid w:val="00EF50A0"/>
    <w:rsid w:val="00EF61CB"/>
    <w:rsid w:val="00EF7316"/>
    <w:rsid w:val="00F021CD"/>
    <w:rsid w:val="00F04EBC"/>
    <w:rsid w:val="00F068A7"/>
    <w:rsid w:val="00F254B0"/>
    <w:rsid w:val="00F2621B"/>
    <w:rsid w:val="00F27227"/>
    <w:rsid w:val="00F33EEF"/>
    <w:rsid w:val="00F358B9"/>
    <w:rsid w:val="00F42A40"/>
    <w:rsid w:val="00F4516F"/>
    <w:rsid w:val="00F561FA"/>
    <w:rsid w:val="00F6150C"/>
    <w:rsid w:val="00F61E89"/>
    <w:rsid w:val="00F73EB2"/>
    <w:rsid w:val="00F74E86"/>
    <w:rsid w:val="00F82FB9"/>
    <w:rsid w:val="00F83C5C"/>
    <w:rsid w:val="00F86F6E"/>
    <w:rsid w:val="00F877BA"/>
    <w:rsid w:val="00F93E89"/>
    <w:rsid w:val="00FA2D7B"/>
    <w:rsid w:val="00FB1724"/>
    <w:rsid w:val="00FB494E"/>
    <w:rsid w:val="00FB696C"/>
    <w:rsid w:val="00FC754D"/>
    <w:rsid w:val="00FE4689"/>
    <w:rsid w:val="00FF06C6"/>
    <w:rsid w:val="00FF3198"/>
    <w:rsid w:val="00FF37FC"/>
    <w:rsid w:val="00FF4F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660BE3-FD09-4E98-AE92-E4BA87CF8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81F"/>
    <w:pPr>
      <w:spacing w:line="280" w:lineRule="atLeast"/>
    </w:pPr>
    <w:rPr>
      <w:rFonts w:ascii="Garamond" w:hAnsi="Garamond"/>
      <w:sz w:val="24"/>
      <w:szCs w:val="24"/>
      <w:lang w:eastAsia="en-US"/>
    </w:rPr>
  </w:style>
  <w:style w:type="paragraph" w:styleId="Overskrift1">
    <w:name w:val="heading 1"/>
    <w:basedOn w:val="Normal"/>
    <w:next w:val="Normal"/>
    <w:qFormat/>
    <w:rsid w:val="009C6735"/>
    <w:pPr>
      <w:keepNext/>
      <w:spacing w:before="280" w:after="280"/>
      <w:outlineLvl w:val="0"/>
    </w:pPr>
    <w:rPr>
      <w:rFonts w:ascii="Arial" w:hAnsi="Arial" w:cs="Arial"/>
      <w:bCs/>
      <w:kern w:val="28"/>
      <w:sz w:val="26"/>
      <w:szCs w:val="32"/>
    </w:rPr>
  </w:style>
  <w:style w:type="paragraph" w:styleId="Overskrift2">
    <w:name w:val="heading 2"/>
    <w:basedOn w:val="Normal"/>
    <w:next w:val="Normal"/>
    <w:qFormat/>
    <w:rsid w:val="009C6735"/>
    <w:pPr>
      <w:keepNext/>
      <w:spacing w:before="280"/>
      <w:outlineLvl w:val="1"/>
    </w:pPr>
    <w:rPr>
      <w:rFonts w:ascii="Arial" w:hAnsi="Arial" w:cs="Arial"/>
      <w:b/>
      <w:bCs/>
      <w:iCs/>
      <w:kern w:val="28"/>
      <w:sz w:val="20"/>
      <w:szCs w:val="28"/>
    </w:rPr>
  </w:style>
  <w:style w:type="paragraph" w:styleId="Overskrift3">
    <w:name w:val="heading 3"/>
    <w:basedOn w:val="Normal"/>
    <w:next w:val="Normal"/>
    <w:qFormat/>
    <w:rsid w:val="009C6735"/>
    <w:pPr>
      <w:keepNext/>
      <w:spacing w:before="280"/>
      <w:outlineLvl w:val="2"/>
    </w:pPr>
    <w:rPr>
      <w:rFonts w:cs="Arial"/>
      <w:bCs/>
      <w:i/>
      <w:kern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32081F"/>
    <w:pPr>
      <w:tabs>
        <w:tab w:val="center" w:pos="4819"/>
        <w:tab w:val="right" w:pos="9638"/>
      </w:tabs>
    </w:pPr>
  </w:style>
  <w:style w:type="paragraph" w:styleId="Sidefod">
    <w:name w:val="footer"/>
    <w:basedOn w:val="Normal"/>
    <w:link w:val="SidefodTegn"/>
    <w:uiPriority w:val="99"/>
    <w:rsid w:val="0032081F"/>
    <w:pPr>
      <w:tabs>
        <w:tab w:val="center" w:pos="4819"/>
        <w:tab w:val="right" w:pos="9638"/>
      </w:tabs>
    </w:pPr>
  </w:style>
  <w:style w:type="table" w:styleId="Tabel-Gitter">
    <w:name w:val="Table Grid"/>
    <w:basedOn w:val="Tabel-Normal"/>
    <w:rsid w:val="001B2B7B"/>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036755"/>
  </w:style>
  <w:style w:type="paragraph" w:customStyle="1" w:styleId="DokTitel">
    <w:name w:val="DokTitel"/>
    <w:basedOn w:val="Normal"/>
    <w:next w:val="Normal"/>
    <w:rsid w:val="003C7A67"/>
    <w:pPr>
      <w:spacing w:line="400" w:lineRule="exact"/>
    </w:pPr>
    <w:rPr>
      <w:rFonts w:ascii="Arial" w:hAnsi="Arial" w:cs="Arial"/>
      <w:sz w:val="40"/>
      <w:szCs w:val="40"/>
    </w:rPr>
  </w:style>
  <w:style w:type="table" w:customStyle="1" w:styleId="OESNotat">
    <w:name w:val="OESNotat"/>
    <w:basedOn w:val="Tabel-Normal"/>
    <w:rsid w:val="00E1383B"/>
    <w:rPr>
      <w:rFonts w:ascii="Garamond" w:hAnsi="Garamond"/>
      <w:sz w:val="24"/>
    </w:rPr>
    <w:tblPr>
      <w:jc w:val="center"/>
      <w:tblCellMar>
        <w:left w:w="0" w:type="dxa"/>
        <w:right w:w="170" w:type="dxa"/>
      </w:tblCellMar>
    </w:tblPr>
    <w:trPr>
      <w:jc w:val="center"/>
    </w:trPr>
    <w:tcPr>
      <w:vAlign w:val="bottom"/>
    </w:tcPr>
    <w:tblStylePr w:type="firstRow">
      <w:tblPr/>
      <w:tcPr>
        <w:tcBorders>
          <w:top w:val="nil"/>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tblStylePr w:type="nwCell">
      <w:pPr>
        <w:jc w:val="left"/>
      </w:pPr>
      <w:rPr>
        <w:rFonts w:ascii="Cambria" w:hAnsi="Cambria"/>
        <w:sz w:val="24"/>
      </w:rPr>
    </w:tblStylePr>
  </w:style>
  <w:style w:type="paragraph" w:customStyle="1" w:styleId="TabelAnmaerkning">
    <w:name w:val="TabelAnmaerkning"/>
    <w:basedOn w:val="Normal"/>
    <w:rsid w:val="00605EC9"/>
    <w:pPr>
      <w:ind w:left="567" w:hanging="567"/>
    </w:pPr>
    <w:rPr>
      <w:sz w:val="20"/>
      <w:szCs w:val="20"/>
      <w:lang w:eastAsia="da-DK"/>
    </w:rPr>
  </w:style>
  <w:style w:type="paragraph" w:customStyle="1" w:styleId="Tabeloverskrift">
    <w:name w:val="Tabeloverskrift"/>
    <w:basedOn w:val="Normal"/>
    <w:rsid w:val="007A716F"/>
    <w:rPr>
      <w:rFonts w:ascii="Arial" w:hAnsi="Arial"/>
      <w:b/>
      <w:sz w:val="18"/>
      <w:lang w:val="en-GB" w:eastAsia="da-DK"/>
    </w:rPr>
  </w:style>
  <w:style w:type="paragraph" w:customStyle="1" w:styleId="Tabeloverskrift2">
    <w:name w:val="Tabeloverskrift2"/>
    <w:basedOn w:val="Normal"/>
    <w:rsid w:val="007A716F"/>
    <w:pPr>
      <w:spacing w:line="240" w:lineRule="auto"/>
    </w:pPr>
    <w:rPr>
      <w:b/>
      <w:noProof/>
      <w:sz w:val="20"/>
      <w:lang w:eastAsia="da-DK"/>
    </w:rPr>
  </w:style>
  <w:style w:type="paragraph" w:customStyle="1" w:styleId="TabelTal">
    <w:name w:val="TabelTal"/>
    <w:basedOn w:val="Normal"/>
    <w:rsid w:val="007A716F"/>
    <w:rPr>
      <w:sz w:val="20"/>
      <w:lang w:val="en-GB" w:eastAsia="da-DK"/>
    </w:rPr>
  </w:style>
  <w:style w:type="paragraph" w:customStyle="1" w:styleId="Tabeltekst">
    <w:name w:val="Tabeltekst"/>
    <w:basedOn w:val="Tabeloverskrift"/>
    <w:rsid w:val="007A716F"/>
    <w:rPr>
      <w:rFonts w:ascii="Garamond" w:hAnsi="Garamond"/>
      <w:b w:val="0"/>
      <w:sz w:val="20"/>
    </w:rPr>
  </w:style>
  <w:style w:type="paragraph" w:customStyle="1" w:styleId="TabelTalOverskrift">
    <w:name w:val="TabelTalOverskrift"/>
    <w:basedOn w:val="TabelTal"/>
    <w:rsid w:val="007A716F"/>
    <w:rPr>
      <w:b/>
      <w:noProof/>
      <w:lang w:val="da-DK"/>
    </w:rPr>
  </w:style>
  <w:style w:type="paragraph" w:styleId="Markeringsbobletekst">
    <w:name w:val="Balloon Text"/>
    <w:basedOn w:val="Normal"/>
    <w:semiHidden/>
    <w:rsid w:val="002938C5"/>
    <w:rPr>
      <w:rFonts w:ascii="Tahoma" w:hAnsi="Tahoma" w:cs="Tahoma"/>
      <w:sz w:val="16"/>
      <w:szCs w:val="16"/>
    </w:rPr>
  </w:style>
  <w:style w:type="character" w:customStyle="1" w:styleId="SidefodTegn">
    <w:name w:val="Sidefod Tegn"/>
    <w:link w:val="Sidefod"/>
    <w:uiPriority w:val="99"/>
    <w:rsid w:val="005A4CBA"/>
    <w:rPr>
      <w:rFonts w:ascii="Garamond" w:hAnsi="Garamond"/>
      <w:sz w:val="24"/>
      <w:szCs w:val="24"/>
      <w:lang w:eastAsia="en-US"/>
    </w:rPr>
  </w:style>
  <w:style w:type="character" w:styleId="Kommentarhenvisning">
    <w:name w:val="annotation reference"/>
    <w:rsid w:val="00CF4E60"/>
    <w:rPr>
      <w:sz w:val="16"/>
      <w:szCs w:val="16"/>
    </w:rPr>
  </w:style>
  <w:style w:type="paragraph" w:styleId="Kommentartekst">
    <w:name w:val="annotation text"/>
    <w:basedOn w:val="Normal"/>
    <w:link w:val="KommentartekstTegn"/>
    <w:rsid w:val="00CF4E60"/>
    <w:rPr>
      <w:sz w:val="20"/>
      <w:szCs w:val="20"/>
    </w:rPr>
  </w:style>
  <w:style w:type="character" w:customStyle="1" w:styleId="KommentartekstTegn">
    <w:name w:val="Kommentartekst Tegn"/>
    <w:link w:val="Kommentartekst"/>
    <w:rsid w:val="00CF4E60"/>
    <w:rPr>
      <w:rFonts w:ascii="Garamond" w:hAnsi="Garamond"/>
      <w:lang w:eastAsia="en-US"/>
    </w:rPr>
  </w:style>
  <w:style w:type="paragraph" w:styleId="Kommentaremne">
    <w:name w:val="annotation subject"/>
    <w:basedOn w:val="Kommentartekst"/>
    <w:next w:val="Kommentartekst"/>
    <w:link w:val="KommentaremneTegn"/>
    <w:rsid w:val="00CF4E60"/>
    <w:rPr>
      <w:b/>
      <w:bCs/>
    </w:rPr>
  </w:style>
  <w:style w:type="character" w:customStyle="1" w:styleId="KommentaremneTegn">
    <w:name w:val="Kommentaremne Tegn"/>
    <w:link w:val="Kommentaremne"/>
    <w:rsid w:val="00CF4E60"/>
    <w:rPr>
      <w:rFonts w:ascii="Garamond" w:hAnsi="Garamond"/>
      <w:b/>
      <w:bCs/>
      <w:lang w:eastAsia="en-US"/>
    </w:rPr>
  </w:style>
  <w:style w:type="paragraph" w:customStyle="1" w:styleId="Default">
    <w:name w:val="Default"/>
    <w:rsid w:val="006D5384"/>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30AE"/>
    <w:pPr>
      <w:spacing w:line="240" w:lineRule="auto"/>
    </w:pPr>
    <w:rPr>
      <w:rFonts w:ascii="Times New Roman" w:eastAsia="Calibri" w:hAnsi="Times New Roman"/>
      <w:lang w:eastAsia="da-DK"/>
    </w:rPr>
  </w:style>
  <w:style w:type="paragraph" w:styleId="Korrektur">
    <w:name w:val="Revision"/>
    <w:hidden/>
    <w:uiPriority w:val="99"/>
    <w:semiHidden/>
    <w:rsid w:val="00ED6557"/>
    <w:rPr>
      <w:rFonts w:ascii="Garamond" w:hAnsi="Garamond"/>
      <w:sz w:val="24"/>
      <w:szCs w:val="24"/>
      <w:lang w:eastAsia="en-US"/>
    </w:rPr>
  </w:style>
  <w:style w:type="paragraph" w:styleId="Listeafsnit">
    <w:name w:val="List Paragraph"/>
    <w:basedOn w:val="Normal"/>
    <w:uiPriority w:val="34"/>
    <w:qFormat/>
    <w:rsid w:val="009D707D"/>
    <w:pPr>
      <w:spacing w:line="240" w:lineRule="auto"/>
      <w:ind w:left="720"/>
    </w:pPr>
    <w:rPr>
      <w:rFonts w:ascii="Calibri" w:eastAsia="Calibri" w:hAnsi="Calibri"/>
      <w:sz w:val="22"/>
      <w:szCs w:val="2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7715">
      <w:bodyDiv w:val="1"/>
      <w:marLeft w:val="0"/>
      <w:marRight w:val="0"/>
      <w:marTop w:val="0"/>
      <w:marBottom w:val="0"/>
      <w:divBdr>
        <w:top w:val="none" w:sz="0" w:space="0" w:color="auto"/>
        <w:left w:val="none" w:sz="0" w:space="0" w:color="auto"/>
        <w:bottom w:val="none" w:sz="0" w:space="0" w:color="auto"/>
        <w:right w:val="none" w:sz="0" w:space="0" w:color="auto"/>
      </w:divBdr>
    </w:div>
    <w:div w:id="346175788">
      <w:bodyDiv w:val="1"/>
      <w:marLeft w:val="0"/>
      <w:marRight w:val="0"/>
      <w:marTop w:val="0"/>
      <w:marBottom w:val="0"/>
      <w:divBdr>
        <w:top w:val="none" w:sz="0" w:space="0" w:color="auto"/>
        <w:left w:val="none" w:sz="0" w:space="0" w:color="auto"/>
        <w:bottom w:val="none" w:sz="0" w:space="0" w:color="auto"/>
        <w:right w:val="none" w:sz="0" w:space="0" w:color="auto"/>
      </w:divBdr>
    </w:div>
    <w:div w:id="647828451">
      <w:bodyDiv w:val="1"/>
      <w:marLeft w:val="0"/>
      <w:marRight w:val="0"/>
      <w:marTop w:val="0"/>
      <w:marBottom w:val="0"/>
      <w:divBdr>
        <w:top w:val="none" w:sz="0" w:space="0" w:color="auto"/>
        <w:left w:val="none" w:sz="0" w:space="0" w:color="auto"/>
        <w:bottom w:val="none" w:sz="0" w:space="0" w:color="auto"/>
        <w:right w:val="none" w:sz="0" w:space="0" w:color="auto"/>
      </w:divBdr>
    </w:div>
    <w:div w:id="201596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er\OES_Notat.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829B-3625-47CF-98A2-F97253098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OES_Notat.dot</Template>
  <TotalTime>0</TotalTime>
  <Pages>1</Pages>
  <Words>961</Words>
  <Characters>5867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Økonomistyrelsen</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dc:creator>
  <cp:lastModifiedBy>Jonas Hermann Damsbo</cp:lastModifiedBy>
  <cp:revision>3</cp:revision>
  <cp:lastPrinted>2013-05-27T12:31:00Z</cp:lastPrinted>
  <dcterms:created xsi:type="dcterms:W3CDTF">2017-12-11T12:10:00Z</dcterms:created>
  <dcterms:modified xsi:type="dcterms:W3CDTF">2017-12-11T12:10:00Z</dcterms:modified>
</cp:coreProperties>
</file>