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81" w:rsidRPr="00AC5579" w:rsidRDefault="009A3781" w:rsidP="00267ED0">
      <w:pPr>
        <w:pStyle w:val="Brdtekst"/>
      </w:pPr>
      <w:bookmarkStart w:id="0" w:name="_Ref482418243"/>
      <w:bookmarkStart w:id="1" w:name="_GoBack"/>
      <w:bookmarkEnd w:id="1"/>
    </w:p>
    <w:p w:rsidR="009839B0" w:rsidRDefault="00CC47B6" w:rsidP="00267ED0">
      <w:pPr>
        <w:pStyle w:val="Brdtekst"/>
        <w:rPr>
          <w:color w:val="FF0000"/>
          <w:sz w:val="24"/>
        </w:rPr>
      </w:pPr>
      <w:r w:rsidRPr="00397198">
        <w:rPr>
          <w:color w:val="FF0000"/>
          <w:sz w:val="24"/>
        </w:rPr>
        <w:t>Bilag 15</w:t>
      </w:r>
    </w:p>
    <w:p w:rsidR="009A7918" w:rsidRDefault="009A7918" w:rsidP="00267ED0">
      <w:pPr>
        <w:pStyle w:val="Brdtekst"/>
        <w:rPr>
          <w:color w:val="FF0000"/>
          <w:sz w:val="24"/>
        </w:rPr>
      </w:pPr>
    </w:p>
    <w:p w:rsidR="009A7918" w:rsidRPr="00397198" w:rsidRDefault="009A7918" w:rsidP="00267ED0">
      <w:pPr>
        <w:pStyle w:val="Brdtekst"/>
        <w:rPr>
          <w:color w:val="FF0000"/>
          <w:sz w:val="24"/>
        </w:rPr>
      </w:pPr>
    </w:p>
    <w:p w:rsidR="009C578E" w:rsidRPr="007B5B09" w:rsidRDefault="009C578E" w:rsidP="006171CF">
      <w:pPr>
        <w:pStyle w:val="Brdtekst"/>
        <w:rPr>
          <w:b/>
          <w:sz w:val="28"/>
          <w:szCs w:val="40"/>
        </w:rPr>
      </w:pPr>
      <w:r w:rsidRPr="007B5B09">
        <w:rPr>
          <w:b/>
          <w:sz w:val="28"/>
          <w:szCs w:val="40"/>
        </w:rPr>
        <w:t>Grunddataprogrammet under den</w:t>
      </w:r>
    </w:p>
    <w:p w:rsidR="00F530AF" w:rsidRPr="007B5B09" w:rsidRDefault="00F530AF" w:rsidP="006171CF">
      <w:pPr>
        <w:pStyle w:val="Brdtekst"/>
        <w:rPr>
          <w:b/>
          <w:sz w:val="28"/>
          <w:szCs w:val="40"/>
        </w:rPr>
      </w:pPr>
      <w:r w:rsidRPr="007B5B09">
        <w:rPr>
          <w:b/>
          <w:sz w:val="28"/>
          <w:szCs w:val="40"/>
        </w:rPr>
        <w:t>Fællesoffentlig</w:t>
      </w:r>
      <w:r w:rsidR="009C578E" w:rsidRPr="007B5B09">
        <w:rPr>
          <w:b/>
          <w:sz w:val="28"/>
          <w:szCs w:val="40"/>
        </w:rPr>
        <w:t>e</w:t>
      </w:r>
      <w:r w:rsidRPr="007B5B09">
        <w:rPr>
          <w:b/>
          <w:sz w:val="28"/>
          <w:szCs w:val="40"/>
        </w:rPr>
        <w:t xml:space="preserve"> Digitaliseringsstrategi 2012 </w:t>
      </w:r>
      <w:r w:rsidRPr="007B5B09">
        <w:rPr>
          <w:b/>
          <w:sz w:val="28"/>
          <w:szCs w:val="40"/>
        </w:rPr>
        <w:softHyphen/>
        <w:t>– 2015</w:t>
      </w:r>
    </w:p>
    <w:p w:rsidR="00F530AF" w:rsidRPr="00AC5579" w:rsidRDefault="00F530AF" w:rsidP="00D438C2">
      <w:pPr>
        <w:pStyle w:val="Brdtekst"/>
      </w:pPr>
    </w:p>
    <w:p w:rsidR="006A04C7" w:rsidRPr="007B5B09" w:rsidRDefault="006A04C7" w:rsidP="006A04C7">
      <w:pPr>
        <w:pStyle w:val="Sidehoved"/>
        <w:jc w:val="left"/>
        <w:rPr>
          <w:b/>
          <w:kern w:val="28"/>
          <w:sz w:val="28"/>
          <w:szCs w:val="32"/>
        </w:rPr>
      </w:pPr>
      <w:r w:rsidRPr="007B5B09">
        <w:rPr>
          <w:b/>
          <w:kern w:val="28"/>
          <w:sz w:val="28"/>
          <w:szCs w:val="32"/>
        </w:rPr>
        <w:t xml:space="preserve">Delprogram 1: </w:t>
      </w:r>
      <w:r w:rsidRPr="007B5B09">
        <w:rPr>
          <w:b/>
          <w:kern w:val="28"/>
          <w:sz w:val="28"/>
          <w:szCs w:val="32"/>
        </w:rPr>
        <w:fldChar w:fldCharType="begin"/>
      </w:r>
      <w:r w:rsidRPr="007B5B09">
        <w:rPr>
          <w:b/>
          <w:kern w:val="28"/>
          <w:sz w:val="28"/>
          <w:szCs w:val="32"/>
        </w:rPr>
        <w:instrText xml:space="preserve"> SUBJECT   \* MERGEFORMAT </w:instrText>
      </w:r>
      <w:r w:rsidRPr="007B5B09">
        <w:rPr>
          <w:b/>
          <w:kern w:val="28"/>
          <w:sz w:val="28"/>
          <w:szCs w:val="32"/>
        </w:rPr>
        <w:fldChar w:fldCharType="separate"/>
      </w:r>
      <w:r w:rsidR="00382620" w:rsidRPr="007B5B09">
        <w:rPr>
          <w:b/>
          <w:kern w:val="28"/>
          <w:sz w:val="28"/>
          <w:szCs w:val="32"/>
        </w:rPr>
        <w:t>Effektiv ejendomsforvaltning og genbrug af ejendomsdata</w:t>
      </w:r>
      <w:r w:rsidRPr="007B5B09">
        <w:rPr>
          <w:b/>
          <w:kern w:val="28"/>
          <w:sz w:val="28"/>
          <w:szCs w:val="32"/>
        </w:rPr>
        <w:fldChar w:fldCharType="end"/>
      </w:r>
    </w:p>
    <w:p w:rsidR="006A04C7" w:rsidRPr="007B5B09" w:rsidRDefault="006A04C7" w:rsidP="00B13558">
      <w:pPr>
        <w:pStyle w:val="Sidehoved"/>
        <w:jc w:val="left"/>
        <w:rPr>
          <w:b/>
          <w:kern w:val="28"/>
          <w:sz w:val="36"/>
          <w:szCs w:val="32"/>
        </w:rPr>
      </w:pPr>
    </w:p>
    <w:p w:rsidR="006A04C7" w:rsidRDefault="006A04C7" w:rsidP="00B13558">
      <w:pPr>
        <w:pStyle w:val="Sidehoved"/>
        <w:jc w:val="left"/>
        <w:rPr>
          <w:kern w:val="28"/>
          <w:sz w:val="32"/>
          <w:szCs w:val="32"/>
        </w:rPr>
      </w:pPr>
    </w:p>
    <w:p w:rsidR="006A04C7" w:rsidRDefault="006A04C7" w:rsidP="00B13558">
      <w:pPr>
        <w:pStyle w:val="Sidehoved"/>
        <w:jc w:val="left"/>
        <w:rPr>
          <w:kern w:val="28"/>
          <w:sz w:val="32"/>
          <w:szCs w:val="32"/>
        </w:rPr>
      </w:pPr>
    </w:p>
    <w:p w:rsidR="006A04C7" w:rsidRDefault="006A04C7" w:rsidP="00B13558">
      <w:pPr>
        <w:pStyle w:val="Sidehoved"/>
        <w:jc w:val="left"/>
        <w:rPr>
          <w:kern w:val="28"/>
          <w:sz w:val="32"/>
          <w:szCs w:val="32"/>
        </w:rPr>
      </w:pPr>
    </w:p>
    <w:p w:rsidR="006A04C7" w:rsidRDefault="006A04C7" w:rsidP="00B13558">
      <w:pPr>
        <w:pStyle w:val="Sidehoved"/>
        <w:jc w:val="left"/>
        <w:rPr>
          <w:kern w:val="28"/>
          <w:sz w:val="32"/>
          <w:szCs w:val="32"/>
        </w:rPr>
      </w:pPr>
    </w:p>
    <w:p w:rsidR="00B13558" w:rsidRPr="007B5B09" w:rsidRDefault="00B13558" w:rsidP="00B13558">
      <w:pPr>
        <w:pStyle w:val="Sidehoved"/>
        <w:jc w:val="left"/>
        <w:rPr>
          <w:sz w:val="44"/>
          <w:szCs w:val="40"/>
        </w:rPr>
      </w:pPr>
      <w:r w:rsidRPr="007B5B09">
        <w:rPr>
          <w:kern w:val="28"/>
          <w:sz w:val="44"/>
          <w:szCs w:val="40"/>
        </w:rPr>
        <w:fldChar w:fldCharType="begin"/>
      </w:r>
      <w:r w:rsidRPr="007B5B09">
        <w:rPr>
          <w:kern w:val="28"/>
          <w:sz w:val="44"/>
          <w:szCs w:val="40"/>
        </w:rPr>
        <w:instrText xml:space="preserve"> TITLE   \* MERGEFORMAT </w:instrText>
      </w:r>
      <w:r w:rsidRPr="007B5B09">
        <w:rPr>
          <w:kern w:val="28"/>
          <w:sz w:val="44"/>
          <w:szCs w:val="40"/>
        </w:rPr>
        <w:fldChar w:fldCharType="separate"/>
      </w:r>
      <w:r w:rsidR="006A04C7" w:rsidRPr="007B5B09">
        <w:rPr>
          <w:kern w:val="28"/>
          <w:sz w:val="44"/>
          <w:szCs w:val="40"/>
        </w:rPr>
        <w:t>Programstyringsdokument</w:t>
      </w:r>
      <w:r w:rsidRPr="007B5B09">
        <w:rPr>
          <w:kern w:val="28"/>
          <w:sz w:val="44"/>
          <w:szCs w:val="40"/>
        </w:rPr>
        <w:fldChar w:fldCharType="end"/>
      </w:r>
    </w:p>
    <w:p w:rsidR="00C5546E" w:rsidRPr="00AC5579" w:rsidRDefault="00EF7920" w:rsidP="00104568">
      <w:pPr>
        <w:pStyle w:val="Brdtekst"/>
      </w:pPr>
      <w:r w:rsidRPr="00AC5579">
        <w:br/>
      </w:r>
    </w:p>
    <w:p w:rsidR="00EF7920" w:rsidRPr="00AC5579" w:rsidRDefault="00EF7920" w:rsidP="00EF7920">
      <w:pPr>
        <w:pStyle w:val="Brdtekst"/>
      </w:pPr>
    </w:p>
    <w:p w:rsidR="00EF7920" w:rsidRPr="00AC5579" w:rsidRDefault="00EF7920" w:rsidP="00EF7920">
      <w:pPr>
        <w:pStyle w:val="Brdtekst"/>
      </w:pPr>
    </w:p>
    <w:p w:rsidR="00EF7920" w:rsidRPr="00AC5579" w:rsidRDefault="00EF7920"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D93B10">
        <w:rPr>
          <w:kern w:val="28"/>
        </w:rPr>
        <w:t>3715</w:t>
      </w:r>
    </w:p>
    <w:p w:rsidR="009A3781" w:rsidRPr="00AC5579" w:rsidRDefault="009A3781" w:rsidP="00F87B4D">
      <w:pPr>
        <w:pStyle w:val="Brdtekst"/>
      </w:pPr>
    </w:p>
    <w:p w:rsidR="00F87B4D" w:rsidRPr="00AC5579" w:rsidRDefault="00F87B4D" w:rsidP="00F87B4D">
      <w:pPr>
        <w:pStyle w:val="Brdtekst"/>
      </w:pPr>
    </w:p>
    <w:p w:rsidR="004F5434" w:rsidRPr="00AC5579" w:rsidRDefault="004F5434" w:rsidP="00F87B4D">
      <w:pPr>
        <w:pStyle w:val="Brdtekst"/>
      </w:pPr>
    </w:p>
    <w:p w:rsidR="00EF7920" w:rsidRPr="00AC5579" w:rsidRDefault="00EF7920" w:rsidP="00F87B4D">
      <w:pPr>
        <w:pStyle w:val="Brdtekst"/>
      </w:pPr>
    </w:p>
    <w:p w:rsidR="00EF7920" w:rsidRPr="00AC5579" w:rsidRDefault="00EF7920" w:rsidP="00F87B4D">
      <w:pPr>
        <w:pStyle w:val="Brdtekst"/>
      </w:pPr>
    </w:p>
    <w:p w:rsidR="007050C9" w:rsidRPr="00AC5579" w:rsidRDefault="007050C9" w:rsidP="007050C9">
      <w:pPr>
        <w:pStyle w:val="Brdtekst"/>
      </w:pPr>
      <w:bookmarkStart w:id="2" w:name="_Toc60202579"/>
      <w:bookmarkStart w:id="3" w:name="_Toc60202701"/>
      <w:bookmarkStart w:id="4" w:name="_Toc60203162"/>
      <w:r w:rsidRPr="00AC5579">
        <w:t xml:space="preserve">Version: </w:t>
      </w:r>
      <w:bookmarkEnd w:id="2"/>
      <w:bookmarkEnd w:id="3"/>
      <w:bookmarkEnd w:id="4"/>
      <w:r w:rsidR="007C71E8">
        <w:t>1</w:t>
      </w:r>
      <w:r w:rsidR="000423F7">
        <w:t>.</w:t>
      </w:r>
      <w:r w:rsidR="00A83AFE">
        <w:t>2</w:t>
      </w:r>
    </w:p>
    <w:p w:rsidR="007050C9" w:rsidRPr="00AC5579" w:rsidRDefault="007050C9" w:rsidP="007050C9">
      <w:pPr>
        <w:pStyle w:val="Brdtekst"/>
      </w:pPr>
      <w:bookmarkStart w:id="5" w:name="_Toc60202580"/>
      <w:bookmarkStart w:id="6" w:name="_Toc60202702"/>
      <w:bookmarkStart w:id="7" w:name="_Toc60203163"/>
      <w:r w:rsidRPr="00AC5579">
        <w:t xml:space="preserve">Status: </w:t>
      </w:r>
      <w:r w:rsidR="002359C8">
        <w:rPr>
          <w:b/>
        </w:rPr>
        <w:t>Godkendt af styregruppen</w:t>
      </w:r>
    </w:p>
    <w:p w:rsidR="007050C9" w:rsidRPr="00AC5579" w:rsidRDefault="007050C9" w:rsidP="007050C9">
      <w:pPr>
        <w:pStyle w:val="Brdtekst"/>
      </w:pPr>
      <w:r w:rsidRPr="00AC5579">
        <w:t>Oprettet:</w:t>
      </w:r>
      <w:bookmarkEnd w:id="5"/>
      <w:bookmarkEnd w:id="6"/>
      <w:bookmarkEnd w:id="7"/>
      <w:r w:rsidR="00DC4D49">
        <w:t xml:space="preserve"> </w:t>
      </w:r>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r w:rsidR="00FB73F7">
        <w:rPr>
          <w:noProof/>
        </w:rPr>
        <w:t>31. maj 2013</w:t>
      </w:r>
      <w:r w:rsidR="003A0904" w:rsidRPr="00AC5579">
        <w:fldChar w:fldCharType="end"/>
      </w:r>
    </w:p>
    <w:p w:rsidR="00663949" w:rsidRPr="00AC5579" w:rsidRDefault="009A3781" w:rsidP="002261C8">
      <w:pPr>
        <w:pStyle w:val="TitelOverskrift2"/>
        <w:rPr>
          <w:lang w:val="da-DK"/>
        </w:rPr>
      </w:pPr>
      <w:r w:rsidRPr="00AC5579">
        <w:rPr>
          <w:lang w:val="da-DK"/>
        </w:rPr>
        <w:br w:type="page"/>
      </w:r>
      <w:r w:rsidR="00663949" w:rsidRPr="00AC5579">
        <w:rPr>
          <w:lang w:val="da-DK"/>
        </w:rPr>
        <w:lastRenderedPageBreak/>
        <w:t>Dokument historie</w:t>
      </w:r>
    </w:p>
    <w:p w:rsidR="00663949" w:rsidRPr="00AC5579" w:rsidRDefault="00663949" w:rsidP="00267ED0">
      <w:pPr>
        <w:pStyle w:val="Brdtekst"/>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663949" w:rsidRPr="00AC5579">
        <w:tc>
          <w:tcPr>
            <w:tcW w:w="881"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Version</w:t>
            </w:r>
          </w:p>
        </w:tc>
        <w:tc>
          <w:tcPr>
            <w:tcW w:w="1246"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Dato</w:t>
            </w:r>
          </w:p>
        </w:tc>
        <w:tc>
          <w:tcPr>
            <w:tcW w:w="5103"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663949" w:rsidRPr="00AC5579" w:rsidRDefault="00663949" w:rsidP="0041601E">
            <w:pPr>
              <w:pStyle w:val="BrdtekstTabel"/>
            </w:pPr>
            <w:r w:rsidRPr="00AC5579">
              <w:t>Initialer</w:t>
            </w:r>
          </w:p>
        </w:tc>
      </w:tr>
      <w:tr w:rsidR="005457B4" w:rsidRPr="00AC5579">
        <w:tc>
          <w:tcPr>
            <w:tcW w:w="881" w:type="dxa"/>
            <w:tcMar>
              <w:top w:w="57" w:type="dxa"/>
              <w:left w:w="85" w:type="dxa"/>
              <w:bottom w:w="57" w:type="dxa"/>
              <w:right w:w="85" w:type="dxa"/>
            </w:tcMar>
          </w:tcPr>
          <w:p w:rsidR="005457B4" w:rsidRPr="00AC5579" w:rsidRDefault="002261C8" w:rsidP="005457B4">
            <w:pPr>
              <w:pStyle w:val="BrdtekstTabel"/>
            </w:pPr>
            <w:r w:rsidRPr="00AC5579">
              <w:t>0.</w:t>
            </w:r>
            <w:r w:rsidR="003A0904" w:rsidRPr="00AC5579">
              <w:t>1</w:t>
            </w:r>
          </w:p>
        </w:tc>
        <w:tc>
          <w:tcPr>
            <w:tcW w:w="1246" w:type="dxa"/>
            <w:tcMar>
              <w:top w:w="57" w:type="dxa"/>
              <w:left w:w="85" w:type="dxa"/>
              <w:bottom w:w="57" w:type="dxa"/>
              <w:right w:w="85" w:type="dxa"/>
            </w:tcMar>
          </w:tcPr>
          <w:p w:rsidR="005457B4" w:rsidRPr="00AC5579" w:rsidRDefault="00F8637F" w:rsidP="002261C8">
            <w:pPr>
              <w:pStyle w:val="BrdtekstTabel"/>
            </w:pPr>
            <w:r w:rsidRPr="00AC5579">
              <w:t>02</w:t>
            </w:r>
            <w:r w:rsidR="005457B4" w:rsidRPr="00AC5579">
              <w:t>-</w:t>
            </w:r>
            <w:r w:rsidRPr="00AC5579">
              <w:t>08</w:t>
            </w:r>
            <w:r w:rsidR="005457B4" w:rsidRPr="00AC5579">
              <w:t>-201</w:t>
            </w:r>
            <w:r w:rsidR="002261C8" w:rsidRPr="00AC5579">
              <w:t>2</w:t>
            </w:r>
          </w:p>
        </w:tc>
        <w:tc>
          <w:tcPr>
            <w:tcW w:w="5103" w:type="dxa"/>
            <w:tcMar>
              <w:top w:w="57" w:type="dxa"/>
              <w:left w:w="85" w:type="dxa"/>
              <w:bottom w:w="57" w:type="dxa"/>
              <w:right w:w="85" w:type="dxa"/>
            </w:tcMar>
          </w:tcPr>
          <w:p w:rsidR="005457B4" w:rsidRPr="00AC5579" w:rsidRDefault="003A0904" w:rsidP="0041601E">
            <w:pPr>
              <w:pStyle w:val="BrdtekstTabel"/>
            </w:pPr>
            <w:r w:rsidRPr="00AC5579">
              <w:t xml:space="preserve">Initialversion </w:t>
            </w:r>
          </w:p>
        </w:tc>
        <w:tc>
          <w:tcPr>
            <w:tcW w:w="1275" w:type="dxa"/>
            <w:tcMar>
              <w:top w:w="57" w:type="dxa"/>
              <w:left w:w="85" w:type="dxa"/>
              <w:bottom w:w="57" w:type="dxa"/>
              <w:right w:w="85" w:type="dxa"/>
            </w:tcMar>
          </w:tcPr>
          <w:p w:rsidR="005457B4" w:rsidRPr="00AC5579" w:rsidRDefault="003A0904" w:rsidP="0041601E">
            <w:pPr>
              <w:pStyle w:val="BrdtekstTabel"/>
            </w:pPr>
            <w:r w:rsidRPr="00AC5579">
              <w:t>PLL-MBBL</w:t>
            </w:r>
          </w:p>
        </w:tc>
      </w:tr>
      <w:tr w:rsidR="003A0904" w:rsidRPr="00AC5579">
        <w:tc>
          <w:tcPr>
            <w:tcW w:w="881" w:type="dxa"/>
            <w:tcMar>
              <w:top w:w="57" w:type="dxa"/>
              <w:left w:w="85" w:type="dxa"/>
              <w:bottom w:w="57" w:type="dxa"/>
              <w:right w:w="85" w:type="dxa"/>
            </w:tcMar>
          </w:tcPr>
          <w:p w:rsidR="003A0904" w:rsidRPr="00AC5579" w:rsidRDefault="00C52E29" w:rsidP="005457B4">
            <w:pPr>
              <w:pStyle w:val="BrdtekstTabel"/>
            </w:pPr>
            <w:r w:rsidRPr="00AC5579">
              <w:t>0.1.</w:t>
            </w:r>
            <w:r w:rsidR="00400184">
              <w:t>2</w:t>
            </w:r>
          </w:p>
        </w:tc>
        <w:tc>
          <w:tcPr>
            <w:tcW w:w="1246" w:type="dxa"/>
            <w:tcMar>
              <w:top w:w="57" w:type="dxa"/>
              <w:left w:w="85" w:type="dxa"/>
              <w:bottom w:w="57" w:type="dxa"/>
              <w:right w:w="85" w:type="dxa"/>
            </w:tcMar>
          </w:tcPr>
          <w:p w:rsidR="003A0904" w:rsidRPr="00AC5579" w:rsidRDefault="00B27975" w:rsidP="002261C8">
            <w:pPr>
              <w:pStyle w:val="BrdtekstTabel"/>
            </w:pPr>
            <w:r>
              <w:t>09-11</w:t>
            </w:r>
            <w:r w:rsidR="00C52E29" w:rsidRPr="00AC5579">
              <w:t>-2012</w:t>
            </w:r>
          </w:p>
        </w:tc>
        <w:tc>
          <w:tcPr>
            <w:tcW w:w="5103" w:type="dxa"/>
            <w:tcMar>
              <w:top w:w="57" w:type="dxa"/>
              <w:left w:w="85" w:type="dxa"/>
              <w:bottom w:w="57" w:type="dxa"/>
              <w:right w:w="85" w:type="dxa"/>
            </w:tcMar>
          </w:tcPr>
          <w:p w:rsidR="003A0904" w:rsidRPr="00AC5579" w:rsidRDefault="00A67424" w:rsidP="00A62BD2">
            <w:pPr>
              <w:pStyle w:val="BrdtekstTabel"/>
            </w:pPr>
            <w:r>
              <w:t xml:space="preserve">Til </w:t>
            </w:r>
            <w:r w:rsidR="00A62BD2">
              <w:t>kommentering</w:t>
            </w:r>
            <w:r>
              <w:t xml:space="preserve"> i MBBL</w:t>
            </w:r>
          </w:p>
        </w:tc>
        <w:tc>
          <w:tcPr>
            <w:tcW w:w="1275" w:type="dxa"/>
            <w:tcMar>
              <w:top w:w="57" w:type="dxa"/>
              <w:left w:w="85" w:type="dxa"/>
              <w:bottom w:w="57" w:type="dxa"/>
              <w:right w:w="85" w:type="dxa"/>
            </w:tcMar>
          </w:tcPr>
          <w:p w:rsidR="003A0904" w:rsidRPr="00AC5579" w:rsidRDefault="00A67424" w:rsidP="0041601E">
            <w:pPr>
              <w:pStyle w:val="BrdtekstTabel"/>
            </w:pPr>
            <w:r>
              <w:t>PLL-MBBL</w:t>
            </w:r>
          </w:p>
        </w:tc>
      </w:tr>
      <w:tr w:rsidR="00A6153D" w:rsidRPr="00AC5579">
        <w:tc>
          <w:tcPr>
            <w:tcW w:w="881" w:type="dxa"/>
            <w:tcMar>
              <w:top w:w="57" w:type="dxa"/>
              <w:left w:w="85" w:type="dxa"/>
              <w:bottom w:w="57" w:type="dxa"/>
              <w:right w:w="85" w:type="dxa"/>
            </w:tcMar>
          </w:tcPr>
          <w:p w:rsidR="00A6153D" w:rsidRPr="00AC5579" w:rsidRDefault="00A6153D" w:rsidP="005457B4">
            <w:pPr>
              <w:pStyle w:val="BrdtekstTabel"/>
            </w:pPr>
            <w:r>
              <w:t>0.2</w:t>
            </w:r>
          </w:p>
        </w:tc>
        <w:tc>
          <w:tcPr>
            <w:tcW w:w="1246" w:type="dxa"/>
            <w:tcMar>
              <w:top w:w="57" w:type="dxa"/>
              <w:left w:w="85" w:type="dxa"/>
              <w:bottom w:w="57" w:type="dxa"/>
              <w:right w:w="85" w:type="dxa"/>
            </w:tcMar>
          </w:tcPr>
          <w:p w:rsidR="00A6153D" w:rsidRDefault="00A6153D" w:rsidP="002261C8">
            <w:pPr>
              <w:pStyle w:val="BrdtekstTabel"/>
            </w:pPr>
            <w:r>
              <w:t>13-11-2012</w:t>
            </w:r>
          </w:p>
        </w:tc>
        <w:tc>
          <w:tcPr>
            <w:tcW w:w="5103" w:type="dxa"/>
            <w:tcMar>
              <w:top w:w="57" w:type="dxa"/>
              <w:left w:w="85" w:type="dxa"/>
              <w:bottom w:w="57" w:type="dxa"/>
              <w:right w:w="85" w:type="dxa"/>
            </w:tcMar>
          </w:tcPr>
          <w:p w:rsidR="00A6153D" w:rsidRDefault="00A6153D" w:rsidP="00A6153D">
            <w:pPr>
              <w:pStyle w:val="BrdtekstTabel"/>
            </w:pPr>
            <w:r>
              <w:t>MBBL kommentarer indarbejdet</w:t>
            </w:r>
          </w:p>
        </w:tc>
        <w:tc>
          <w:tcPr>
            <w:tcW w:w="1275" w:type="dxa"/>
            <w:tcMar>
              <w:top w:w="57" w:type="dxa"/>
              <w:left w:w="85" w:type="dxa"/>
              <w:bottom w:w="57" w:type="dxa"/>
              <w:right w:w="85" w:type="dxa"/>
            </w:tcMar>
          </w:tcPr>
          <w:p w:rsidR="00A6153D" w:rsidRDefault="00A6153D" w:rsidP="0041601E">
            <w:pPr>
              <w:pStyle w:val="BrdtekstTabel"/>
            </w:pPr>
            <w:r>
              <w:t>PLL-MBBL</w:t>
            </w:r>
          </w:p>
        </w:tc>
      </w:tr>
      <w:tr w:rsidR="00B011C1" w:rsidRPr="00AC5579">
        <w:tc>
          <w:tcPr>
            <w:tcW w:w="881" w:type="dxa"/>
            <w:tcMar>
              <w:top w:w="57" w:type="dxa"/>
              <w:left w:w="85" w:type="dxa"/>
              <w:bottom w:w="57" w:type="dxa"/>
              <w:right w:w="85" w:type="dxa"/>
            </w:tcMar>
          </w:tcPr>
          <w:p w:rsidR="00B011C1" w:rsidRDefault="00B011C1" w:rsidP="005457B4">
            <w:pPr>
              <w:pStyle w:val="BrdtekstTabel"/>
            </w:pPr>
            <w:r>
              <w:t>0.2.</w:t>
            </w:r>
            <w:r w:rsidR="00CF6F9B">
              <w:t>1</w:t>
            </w:r>
          </w:p>
        </w:tc>
        <w:tc>
          <w:tcPr>
            <w:tcW w:w="1246" w:type="dxa"/>
            <w:tcMar>
              <w:top w:w="57" w:type="dxa"/>
              <w:left w:w="85" w:type="dxa"/>
              <w:bottom w:w="57" w:type="dxa"/>
              <w:right w:w="85" w:type="dxa"/>
            </w:tcMar>
          </w:tcPr>
          <w:p w:rsidR="00B011C1" w:rsidRDefault="00B011C1" w:rsidP="002261C8">
            <w:pPr>
              <w:pStyle w:val="BrdtekstTabel"/>
            </w:pPr>
            <w:r>
              <w:t>15-11-2012</w:t>
            </w:r>
          </w:p>
        </w:tc>
        <w:tc>
          <w:tcPr>
            <w:tcW w:w="5103" w:type="dxa"/>
            <w:tcMar>
              <w:top w:w="57" w:type="dxa"/>
              <w:left w:w="85" w:type="dxa"/>
              <w:bottom w:w="57" w:type="dxa"/>
              <w:right w:w="85" w:type="dxa"/>
            </w:tcMar>
          </w:tcPr>
          <w:p w:rsidR="00B011C1" w:rsidRDefault="00B011C1" w:rsidP="00A6153D">
            <w:pPr>
              <w:pStyle w:val="BrdtekstTabel"/>
            </w:pPr>
            <w:r>
              <w:t>Servicemål udgår</w:t>
            </w:r>
          </w:p>
        </w:tc>
        <w:tc>
          <w:tcPr>
            <w:tcW w:w="1275" w:type="dxa"/>
            <w:tcMar>
              <w:top w:w="57" w:type="dxa"/>
              <w:left w:w="85" w:type="dxa"/>
              <w:bottom w:w="57" w:type="dxa"/>
              <w:right w:w="85" w:type="dxa"/>
            </w:tcMar>
          </w:tcPr>
          <w:p w:rsidR="00B011C1" w:rsidRDefault="00B011C1" w:rsidP="0041601E">
            <w:pPr>
              <w:pStyle w:val="BrdtekstTabel"/>
            </w:pPr>
            <w:r>
              <w:t>PLL-MBBL</w:t>
            </w:r>
          </w:p>
        </w:tc>
      </w:tr>
      <w:tr w:rsidR="003F575C" w:rsidRPr="00AC5579">
        <w:tc>
          <w:tcPr>
            <w:tcW w:w="881" w:type="dxa"/>
            <w:tcMar>
              <w:top w:w="57" w:type="dxa"/>
              <w:left w:w="85" w:type="dxa"/>
              <w:bottom w:w="57" w:type="dxa"/>
              <w:right w:w="85" w:type="dxa"/>
            </w:tcMar>
          </w:tcPr>
          <w:p w:rsidR="003F575C" w:rsidRDefault="003F575C" w:rsidP="005457B4">
            <w:pPr>
              <w:pStyle w:val="BrdtekstTabel"/>
            </w:pPr>
            <w:r>
              <w:t>0.2.2</w:t>
            </w:r>
          </w:p>
        </w:tc>
        <w:tc>
          <w:tcPr>
            <w:tcW w:w="1246" w:type="dxa"/>
            <w:tcMar>
              <w:top w:w="57" w:type="dxa"/>
              <w:left w:w="85" w:type="dxa"/>
              <w:bottom w:w="57" w:type="dxa"/>
              <w:right w:w="85" w:type="dxa"/>
            </w:tcMar>
          </w:tcPr>
          <w:p w:rsidR="003F575C" w:rsidRDefault="003F575C" w:rsidP="002261C8">
            <w:pPr>
              <w:pStyle w:val="BrdtekstTabel"/>
            </w:pPr>
            <w:r>
              <w:t>19-11-2012</w:t>
            </w:r>
          </w:p>
        </w:tc>
        <w:tc>
          <w:tcPr>
            <w:tcW w:w="5103" w:type="dxa"/>
            <w:tcMar>
              <w:top w:w="57" w:type="dxa"/>
              <w:left w:w="85" w:type="dxa"/>
              <w:bottom w:w="57" w:type="dxa"/>
              <w:right w:w="85" w:type="dxa"/>
            </w:tcMar>
          </w:tcPr>
          <w:p w:rsidR="003F575C" w:rsidRDefault="003F575C" w:rsidP="00A6153D">
            <w:pPr>
              <w:pStyle w:val="BrdtekstTabel"/>
            </w:pPr>
            <w:r>
              <w:t>Mindre justeringer</w:t>
            </w:r>
          </w:p>
        </w:tc>
        <w:tc>
          <w:tcPr>
            <w:tcW w:w="1275" w:type="dxa"/>
            <w:tcMar>
              <w:top w:w="57" w:type="dxa"/>
              <w:left w:w="85" w:type="dxa"/>
              <w:bottom w:w="57" w:type="dxa"/>
              <w:right w:w="85" w:type="dxa"/>
            </w:tcMar>
          </w:tcPr>
          <w:p w:rsidR="003F575C" w:rsidRDefault="003F575C" w:rsidP="0041601E">
            <w:pPr>
              <w:pStyle w:val="BrdtekstTabel"/>
            </w:pPr>
            <w:r>
              <w:t>PLL-MBBL</w:t>
            </w:r>
          </w:p>
        </w:tc>
      </w:tr>
      <w:tr w:rsidR="00D93B10" w:rsidRPr="00AC5579">
        <w:tc>
          <w:tcPr>
            <w:tcW w:w="881" w:type="dxa"/>
            <w:tcMar>
              <w:top w:w="57" w:type="dxa"/>
              <w:left w:w="85" w:type="dxa"/>
              <w:bottom w:w="57" w:type="dxa"/>
              <w:right w:w="85" w:type="dxa"/>
            </w:tcMar>
          </w:tcPr>
          <w:p w:rsidR="00D93B10" w:rsidRDefault="003B222B" w:rsidP="005457B4">
            <w:pPr>
              <w:pStyle w:val="BrdtekstTabel"/>
            </w:pPr>
            <w:r>
              <w:t>0.3.0</w:t>
            </w:r>
          </w:p>
        </w:tc>
        <w:tc>
          <w:tcPr>
            <w:tcW w:w="1246" w:type="dxa"/>
            <w:tcMar>
              <w:top w:w="57" w:type="dxa"/>
              <w:left w:w="85" w:type="dxa"/>
              <w:bottom w:w="57" w:type="dxa"/>
              <w:right w:w="85" w:type="dxa"/>
            </w:tcMar>
          </w:tcPr>
          <w:p w:rsidR="00D93B10" w:rsidRDefault="003B222B" w:rsidP="003B222B">
            <w:pPr>
              <w:pStyle w:val="BrdtekstTabel"/>
            </w:pPr>
            <w:r>
              <w:t>01</w:t>
            </w:r>
            <w:r w:rsidR="002359C8">
              <w:t>-</w:t>
            </w:r>
            <w:r w:rsidR="00D93B10">
              <w:t>0</w:t>
            </w:r>
            <w:r>
              <w:t>2</w:t>
            </w:r>
            <w:r w:rsidR="00D93B10">
              <w:t>-2013</w:t>
            </w:r>
          </w:p>
        </w:tc>
        <w:tc>
          <w:tcPr>
            <w:tcW w:w="5103" w:type="dxa"/>
            <w:tcMar>
              <w:top w:w="57" w:type="dxa"/>
              <w:left w:w="85" w:type="dxa"/>
              <w:bottom w:w="57" w:type="dxa"/>
              <w:right w:w="85" w:type="dxa"/>
            </w:tcMar>
          </w:tcPr>
          <w:p w:rsidR="00D93B10" w:rsidRDefault="003B222B" w:rsidP="003B222B">
            <w:pPr>
              <w:pStyle w:val="BrdtekstTabel"/>
            </w:pPr>
            <w:r>
              <w:t>Justeret pba. input fra styregruppemøde 22.11.2012</w:t>
            </w:r>
          </w:p>
        </w:tc>
        <w:tc>
          <w:tcPr>
            <w:tcW w:w="1275" w:type="dxa"/>
            <w:tcMar>
              <w:top w:w="57" w:type="dxa"/>
              <w:left w:w="85" w:type="dxa"/>
              <w:bottom w:w="57" w:type="dxa"/>
              <w:right w:w="85" w:type="dxa"/>
            </w:tcMar>
          </w:tcPr>
          <w:p w:rsidR="00D93B10" w:rsidRDefault="00D93B10" w:rsidP="0041601E">
            <w:pPr>
              <w:pStyle w:val="BrdtekstTabel"/>
            </w:pPr>
            <w:r>
              <w:t>ALE</w:t>
            </w:r>
            <w:r w:rsidR="00E452D3">
              <w:t>/PLL</w:t>
            </w:r>
            <w:r>
              <w:t>-MBBL</w:t>
            </w:r>
          </w:p>
        </w:tc>
      </w:tr>
      <w:tr w:rsidR="00001B12" w:rsidRPr="00AC5579">
        <w:tc>
          <w:tcPr>
            <w:tcW w:w="881" w:type="dxa"/>
            <w:tcMar>
              <w:top w:w="57" w:type="dxa"/>
              <w:left w:w="85" w:type="dxa"/>
              <w:bottom w:w="57" w:type="dxa"/>
              <w:right w:w="85" w:type="dxa"/>
            </w:tcMar>
          </w:tcPr>
          <w:p w:rsidR="00001B12" w:rsidRDefault="002359C8" w:rsidP="005457B4">
            <w:pPr>
              <w:pStyle w:val="BrdtekstTabel"/>
            </w:pPr>
            <w:r>
              <w:t>1.0</w:t>
            </w:r>
          </w:p>
        </w:tc>
        <w:tc>
          <w:tcPr>
            <w:tcW w:w="1246" w:type="dxa"/>
            <w:tcMar>
              <w:top w:w="57" w:type="dxa"/>
              <w:left w:w="85" w:type="dxa"/>
              <w:bottom w:w="57" w:type="dxa"/>
              <w:right w:w="85" w:type="dxa"/>
            </w:tcMar>
          </w:tcPr>
          <w:p w:rsidR="00001B12" w:rsidRDefault="002359C8" w:rsidP="003B222B">
            <w:pPr>
              <w:pStyle w:val="BrdtekstTabel"/>
            </w:pPr>
            <w:r>
              <w:t>11-02-2013</w:t>
            </w:r>
          </w:p>
        </w:tc>
        <w:tc>
          <w:tcPr>
            <w:tcW w:w="5103" w:type="dxa"/>
            <w:tcMar>
              <w:top w:w="57" w:type="dxa"/>
              <w:left w:w="85" w:type="dxa"/>
              <w:bottom w:w="57" w:type="dxa"/>
              <w:right w:w="85" w:type="dxa"/>
            </w:tcMar>
          </w:tcPr>
          <w:p w:rsidR="00001B12" w:rsidRDefault="002359C8" w:rsidP="003B222B">
            <w:pPr>
              <w:pStyle w:val="BrdtekstTabel"/>
            </w:pPr>
            <w:r>
              <w:t>Godkendt af styregruppen</w:t>
            </w:r>
          </w:p>
        </w:tc>
        <w:tc>
          <w:tcPr>
            <w:tcW w:w="1275" w:type="dxa"/>
            <w:tcMar>
              <w:top w:w="57" w:type="dxa"/>
              <w:left w:w="85" w:type="dxa"/>
              <w:bottom w:w="57" w:type="dxa"/>
              <w:right w:w="85" w:type="dxa"/>
            </w:tcMar>
          </w:tcPr>
          <w:p w:rsidR="00001B12" w:rsidRDefault="002359C8" w:rsidP="0041601E">
            <w:pPr>
              <w:pStyle w:val="BrdtekstTabel"/>
            </w:pPr>
            <w:r>
              <w:t>ALE-MBBL</w:t>
            </w:r>
          </w:p>
        </w:tc>
      </w:tr>
      <w:tr w:rsidR="000423F7" w:rsidRPr="00AC5579">
        <w:tc>
          <w:tcPr>
            <w:tcW w:w="881" w:type="dxa"/>
            <w:tcMar>
              <w:top w:w="57" w:type="dxa"/>
              <w:left w:w="85" w:type="dxa"/>
              <w:bottom w:w="57" w:type="dxa"/>
              <w:right w:w="85" w:type="dxa"/>
            </w:tcMar>
          </w:tcPr>
          <w:p w:rsidR="000423F7" w:rsidRDefault="000423F7" w:rsidP="005457B4">
            <w:pPr>
              <w:pStyle w:val="BrdtekstTabel"/>
            </w:pPr>
            <w:r>
              <w:t>1.1</w:t>
            </w:r>
          </w:p>
        </w:tc>
        <w:tc>
          <w:tcPr>
            <w:tcW w:w="1246" w:type="dxa"/>
            <w:tcMar>
              <w:top w:w="57" w:type="dxa"/>
              <w:left w:w="85" w:type="dxa"/>
              <w:bottom w:w="57" w:type="dxa"/>
              <w:right w:w="85" w:type="dxa"/>
            </w:tcMar>
          </w:tcPr>
          <w:p w:rsidR="000423F7" w:rsidRDefault="000423F7" w:rsidP="003B222B">
            <w:pPr>
              <w:pStyle w:val="BrdtekstTabel"/>
            </w:pPr>
            <w:r>
              <w:t>15-05-2013</w:t>
            </w:r>
          </w:p>
        </w:tc>
        <w:tc>
          <w:tcPr>
            <w:tcW w:w="5103" w:type="dxa"/>
            <w:tcMar>
              <w:top w:w="57" w:type="dxa"/>
              <w:left w:w="85" w:type="dxa"/>
              <w:bottom w:w="57" w:type="dxa"/>
              <w:right w:w="85" w:type="dxa"/>
            </w:tcMar>
          </w:tcPr>
          <w:p w:rsidR="000423F7" w:rsidRDefault="000423F7" w:rsidP="003B222B">
            <w:pPr>
              <w:pStyle w:val="BrdtekstTabel"/>
            </w:pPr>
            <w:r>
              <w:t>Revideret ift. fælles analyse</w:t>
            </w:r>
          </w:p>
        </w:tc>
        <w:tc>
          <w:tcPr>
            <w:tcW w:w="1275" w:type="dxa"/>
            <w:tcMar>
              <w:top w:w="57" w:type="dxa"/>
              <w:left w:w="85" w:type="dxa"/>
              <w:bottom w:w="57" w:type="dxa"/>
              <w:right w:w="85" w:type="dxa"/>
            </w:tcMar>
          </w:tcPr>
          <w:p w:rsidR="000423F7" w:rsidRDefault="000423F7" w:rsidP="0041601E">
            <w:pPr>
              <w:pStyle w:val="BrdtekstTabel"/>
            </w:pPr>
            <w:r>
              <w:t>PLL-MBBL</w:t>
            </w:r>
          </w:p>
        </w:tc>
      </w:tr>
      <w:tr w:rsidR="00A83AFE" w:rsidRPr="00AC5579">
        <w:tc>
          <w:tcPr>
            <w:tcW w:w="881" w:type="dxa"/>
            <w:tcMar>
              <w:top w:w="57" w:type="dxa"/>
              <w:left w:w="85" w:type="dxa"/>
              <w:bottom w:w="57" w:type="dxa"/>
              <w:right w:w="85" w:type="dxa"/>
            </w:tcMar>
          </w:tcPr>
          <w:p w:rsidR="00A83AFE" w:rsidRDefault="00A83AFE" w:rsidP="005457B4">
            <w:pPr>
              <w:pStyle w:val="BrdtekstTabel"/>
            </w:pPr>
            <w:r>
              <w:t>1.2</w:t>
            </w:r>
          </w:p>
        </w:tc>
        <w:tc>
          <w:tcPr>
            <w:tcW w:w="1246" w:type="dxa"/>
            <w:tcMar>
              <w:top w:w="57" w:type="dxa"/>
              <w:left w:w="85" w:type="dxa"/>
              <w:bottom w:w="57" w:type="dxa"/>
              <w:right w:w="85" w:type="dxa"/>
            </w:tcMar>
          </w:tcPr>
          <w:p w:rsidR="00A83AFE" w:rsidRDefault="00A83AFE" w:rsidP="003B222B">
            <w:pPr>
              <w:pStyle w:val="BrdtekstTabel"/>
            </w:pPr>
            <w:r>
              <w:t>29-05-2013</w:t>
            </w:r>
          </w:p>
        </w:tc>
        <w:tc>
          <w:tcPr>
            <w:tcW w:w="5103" w:type="dxa"/>
            <w:tcMar>
              <w:top w:w="57" w:type="dxa"/>
              <w:left w:w="85" w:type="dxa"/>
              <w:bottom w:w="57" w:type="dxa"/>
              <w:right w:w="85" w:type="dxa"/>
            </w:tcMar>
          </w:tcPr>
          <w:p w:rsidR="00A83AFE" w:rsidRDefault="00A83AFE" w:rsidP="003B222B">
            <w:pPr>
              <w:pStyle w:val="BrdtekstTabel"/>
            </w:pPr>
            <w:r>
              <w:t>Godkendt af styregruppen</w:t>
            </w:r>
          </w:p>
        </w:tc>
        <w:tc>
          <w:tcPr>
            <w:tcW w:w="1275" w:type="dxa"/>
            <w:tcMar>
              <w:top w:w="57" w:type="dxa"/>
              <w:left w:w="85" w:type="dxa"/>
              <w:bottom w:w="57" w:type="dxa"/>
              <w:right w:w="85" w:type="dxa"/>
            </w:tcMar>
          </w:tcPr>
          <w:p w:rsidR="00A83AFE" w:rsidRDefault="00A83AFE" w:rsidP="0041601E">
            <w:pPr>
              <w:pStyle w:val="BrdtekstTabel"/>
            </w:pPr>
            <w:r>
              <w:t>PLL-MBBL</w:t>
            </w:r>
          </w:p>
        </w:tc>
      </w:tr>
    </w:tbl>
    <w:p w:rsidR="00663949" w:rsidRPr="00AC5579" w:rsidRDefault="00663949" w:rsidP="00267ED0">
      <w:pPr>
        <w:pStyle w:val="Brdtekst"/>
      </w:pPr>
    </w:p>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End w:id="0"/>
    <w:p w:rsidR="007B5B09" w:rsidRPr="00D3090A" w:rsidRDefault="000C5EB6">
      <w:pPr>
        <w:pStyle w:val="Indholdsfortegnelse1"/>
        <w:tabs>
          <w:tab w:val="right" w:leader="dot" w:pos="8495"/>
        </w:tabs>
        <w:rPr>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41024625" w:history="1">
        <w:r w:rsidR="007B5B09" w:rsidRPr="004720A2">
          <w:rPr>
            <w:rStyle w:val="Hyperlink"/>
            <w:noProof/>
          </w:rPr>
          <w:t>1.</w:t>
        </w:r>
        <w:r w:rsidR="007B5B09" w:rsidRPr="00D3090A">
          <w:rPr>
            <w:b w:val="0"/>
            <w:bCs w:val="0"/>
            <w:caps w:val="0"/>
            <w:noProof/>
            <w:sz w:val="22"/>
            <w:szCs w:val="22"/>
          </w:rPr>
          <w:tab/>
        </w:r>
        <w:r w:rsidR="007B5B09" w:rsidRPr="004720A2">
          <w:rPr>
            <w:rStyle w:val="Hyperlink"/>
            <w:noProof/>
          </w:rPr>
          <w:t>Indledning</w:t>
        </w:r>
        <w:r w:rsidR="007B5B09">
          <w:rPr>
            <w:noProof/>
            <w:webHidden/>
          </w:rPr>
          <w:tab/>
        </w:r>
        <w:r w:rsidR="007B5B09">
          <w:rPr>
            <w:noProof/>
            <w:webHidden/>
          </w:rPr>
          <w:fldChar w:fldCharType="begin"/>
        </w:r>
        <w:r w:rsidR="007B5B09">
          <w:rPr>
            <w:noProof/>
            <w:webHidden/>
          </w:rPr>
          <w:instrText xml:space="preserve"> PAGEREF _Toc341024625 \h </w:instrText>
        </w:r>
        <w:r w:rsidR="007B5B09">
          <w:rPr>
            <w:noProof/>
            <w:webHidden/>
          </w:rPr>
        </w:r>
        <w:r w:rsidR="007B5B09">
          <w:rPr>
            <w:noProof/>
            <w:webHidden/>
          </w:rPr>
          <w:fldChar w:fldCharType="separate"/>
        </w:r>
        <w:r w:rsidR="0091000E">
          <w:rPr>
            <w:noProof/>
            <w:webHidden/>
          </w:rPr>
          <w:t>4</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26" w:history="1">
        <w:r w:rsidR="007B5B09" w:rsidRPr="004720A2">
          <w:rPr>
            <w:rStyle w:val="Hyperlink"/>
            <w:noProof/>
          </w:rPr>
          <w:t>1.1</w:t>
        </w:r>
        <w:r w:rsidR="007B5B09" w:rsidRPr="00D3090A">
          <w:rPr>
            <w:b w:val="0"/>
            <w:smallCaps w:val="0"/>
            <w:noProof/>
            <w:szCs w:val="22"/>
          </w:rPr>
          <w:tab/>
        </w:r>
        <w:r w:rsidR="007B5B09" w:rsidRPr="004720A2">
          <w:rPr>
            <w:rStyle w:val="Hyperlink"/>
            <w:noProof/>
          </w:rPr>
          <w:t>Programmets anledning</w:t>
        </w:r>
        <w:r w:rsidR="007B5B09">
          <w:rPr>
            <w:noProof/>
            <w:webHidden/>
          </w:rPr>
          <w:tab/>
        </w:r>
        <w:r w:rsidR="007B5B09">
          <w:rPr>
            <w:noProof/>
            <w:webHidden/>
          </w:rPr>
          <w:fldChar w:fldCharType="begin"/>
        </w:r>
        <w:r w:rsidR="007B5B09">
          <w:rPr>
            <w:noProof/>
            <w:webHidden/>
          </w:rPr>
          <w:instrText xml:space="preserve"> PAGEREF _Toc341024626 \h </w:instrText>
        </w:r>
        <w:r w:rsidR="007B5B09">
          <w:rPr>
            <w:noProof/>
            <w:webHidden/>
          </w:rPr>
        </w:r>
        <w:r w:rsidR="007B5B09">
          <w:rPr>
            <w:noProof/>
            <w:webHidden/>
          </w:rPr>
          <w:fldChar w:fldCharType="separate"/>
        </w:r>
        <w:r w:rsidR="0091000E">
          <w:rPr>
            <w:noProof/>
            <w:webHidden/>
          </w:rPr>
          <w:t>4</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27" w:history="1">
        <w:r w:rsidR="007B5B09" w:rsidRPr="004720A2">
          <w:rPr>
            <w:rStyle w:val="Hyperlink"/>
            <w:noProof/>
          </w:rPr>
          <w:t>1.2</w:t>
        </w:r>
        <w:r w:rsidR="007B5B09" w:rsidRPr="00D3090A">
          <w:rPr>
            <w:b w:val="0"/>
            <w:smallCaps w:val="0"/>
            <w:noProof/>
            <w:szCs w:val="22"/>
          </w:rPr>
          <w:tab/>
        </w:r>
        <w:r w:rsidR="007B5B09" w:rsidRPr="004720A2">
          <w:rPr>
            <w:rStyle w:val="Hyperlink"/>
            <w:noProof/>
          </w:rPr>
          <w:t>Programstyringsdokumentets formål</w:t>
        </w:r>
        <w:r w:rsidR="007B5B09">
          <w:rPr>
            <w:noProof/>
            <w:webHidden/>
          </w:rPr>
          <w:tab/>
        </w:r>
        <w:r w:rsidR="007B5B09">
          <w:rPr>
            <w:noProof/>
            <w:webHidden/>
          </w:rPr>
          <w:fldChar w:fldCharType="begin"/>
        </w:r>
        <w:r w:rsidR="007B5B09">
          <w:rPr>
            <w:noProof/>
            <w:webHidden/>
          </w:rPr>
          <w:instrText xml:space="preserve"> PAGEREF _Toc341024627 \h </w:instrText>
        </w:r>
        <w:r w:rsidR="007B5B09">
          <w:rPr>
            <w:noProof/>
            <w:webHidden/>
          </w:rPr>
        </w:r>
        <w:r w:rsidR="007B5B09">
          <w:rPr>
            <w:noProof/>
            <w:webHidden/>
          </w:rPr>
          <w:fldChar w:fldCharType="separate"/>
        </w:r>
        <w:r w:rsidR="0091000E">
          <w:rPr>
            <w:noProof/>
            <w:webHidden/>
          </w:rPr>
          <w:t>4</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28" w:history="1">
        <w:r w:rsidR="007B5B09" w:rsidRPr="004720A2">
          <w:rPr>
            <w:rStyle w:val="Hyperlink"/>
            <w:noProof/>
          </w:rPr>
          <w:t>1.3</w:t>
        </w:r>
        <w:r w:rsidR="007B5B09" w:rsidRPr="00D3090A">
          <w:rPr>
            <w:b w:val="0"/>
            <w:smallCaps w:val="0"/>
            <w:noProof/>
            <w:szCs w:val="22"/>
          </w:rPr>
          <w:tab/>
        </w:r>
        <w:r w:rsidR="007B5B09" w:rsidRPr="004720A2">
          <w:rPr>
            <w:rStyle w:val="Hyperlink"/>
            <w:noProof/>
          </w:rPr>
          <w:t>Programmets interessenter</w:t>
        </w:r>
        <w:r w:rsidR="007B5B09">
          <w:rPr>
            <w:noProof/>
            <w:webHidden/>
          </w:rPr>
          <w:tab/>
        </w:r>
        <w:r w:rsidR="007B5B09">
          <w:rPr>
            <w:noProof/>
            <w:webHidden/>
          </w:rPr>
          <w:fldChar w:fldCharType="begin"/>
        </w:r>
        <w:r w:rsidR="007B5B09">
          <w:rPr>
            <w:noProof/>
            <w:webHidden/>
          </w:rPr>
          <w:instrText xml:space="preserve"> PAGEREF _Toc341024628 \h </w:instrText>
        </w:r>
        <w:r w:rsidR="007B5B09">
          <w:rPr>
            <w:noProof/>
            <w:webHidden/>
          </w:rPr>
        </w:r>
        <w:r w:rsidR="007B5B09">
          <w:rPr>
            <w:noProof/>
            <w:webHidden/>
          </w:rPr>
          <w:fldChar w:fldCharType="separate"/>
        </w:r>
        <w:r w:rsidR="0091000E">
          <w:rPr>
            <w:noProof/>
            <w:webHidden/>
          </w:rPr>
          <w:t>4</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29" w:history="1">
        <w:r w:rsidR="007B5B09" w:rsidRPr="004720A2">
          <w:rPr>
            <w:rStyle w:val="Hyperlink"/>
            <w:noProof/>
          </w:rPr>
          <w:t>1.4</w:t>
        </w:r>
        <w:r w:rsidR="007B5B09" w:rsidRPr="00D3090A">
          <w:rPr>
            <w:b w:val="0"/>
            <w:smallCaps w:val="0"/>
            <w:noProof/>
            <w:szCs w:val="22"/>
          </w:rPr>
          <w:tab/>
        </w:r>
        <w:r w:rsidR="007B5B09" w:rsidRPr="004720A2">
          <w:rPr>
            <w:rStyle w:val="Hyperlink"/>
            <w:noProof/>
          </w:rPr>
          <w:t>Ejendomsregistre der er i spil</w:t>
        </w:r>
        <w:r w:rsidR="007B5B09">
          <w:rPr>
            <w:noProof/>
            <w:webHidden/>
          </w:rPr>
          <w:tab/>
        </w:r>
        <w:r w:rsidR="007B5B09">
          <w:rPr>
            <w:noProof/>
            <w:webHidden/>
          </w:rPr>
          <w:fldChar w:fldCharType="begin"/>
        </w:r>
        <w:r w:rsidR="007B5B09">
          <w:rPr>
            <w:noProof/>
            <w:webHidden/>
          </w:rPr>
          <w:instrText xml:space="preserve"> PAGEREF _Toc341024629 \h </w:instrText>
        </w:r>
        <w:r w:rsidR="007B5B09">
          <w:rPr>
            <w:noProof/>
            <w:webHidden/>
          </w:rPr>
        </w:r>
        <w:r w:rsidR="007B5B09">
          <w:rPr>
            <w:noProof/>
            <w:webHidden/>
          </w:rPr>
          <w:fldChar w:fldCharType="separate"/>
        </w:r>
        <w:r w:rsidR="0091000E">
          <w:rPr>
            <w:noProof/>
            <w:webHidden/>
          </w:rPr>
          <w:t>5</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30" w:history="1">
        <w:r w:rsidR="007B5B09" w:rsidRPr="004720A2">
          <w:rPr>
            <w:rStyle w:val="Hyperlink"/>
            <w:noProof/>
          </w:rPr>
          <w:t>1.5</w:t>
        </w:r>
        <w:r w:rsidR="007B5B09" w:rsidRPr="00D3090A">
          <w:rPr>
            <w:b w:val="0"/>
            <w:smallCaps w:val="0"/>
            <w:noProof/>
            <w:szCs w:val="22"/>
          </w:rPr>
          <w:tab/>
        </w:r>
        <w:r w:rsidR="007B5B09" w:rsidRPr="004720A2">
          <w:rPr>
            <w:rStyle w:val="Hyperlink"/>
            <w:noProof/>
          </w:rPr>
          <w:t>Den forretningsmæssige begrundelse for programmet</w:t>
        </w:r>
        <w:r w:rsidR="007B5B09">
          <w:rPr>
            <w:noProof/>
            <w:webHidden/>
          </w:rPr>
          <w:tab/>
        </w:r>
        <w:r w:rsidR="007B5B09">
          <w:rPr>
            <w:noProof/>
            <w:webHidden/>
          </w:rPr>
          <w:fldChar w:fldCharType="begin"/>
        </w:r>
        <w:r w:rsidR="007B5B09">
          <w:rPr>
            <w:noProof/>
            <w:webHidden/>
          </w:rPr>
          <w:instrText xml:space="preserve"> PAGEREF _Toc341024630 \h </w:instrText>
        </w:r>
        <w:r w:rsidR="007B5B09">
          <w:rPr>
            <w:noProof/>
            <w:webHidden/>
          </w:rPr>
        </w:r>
        <w:r w:rsidR="007B5B09">
          <w:rPr>
            <w:noProof/>
            <w:webHidden/>
          </w:rPr>
          <w:fldChar w:fldCharType="separate"/>
        </w:r>
        <w:r w:rsidR="0091000E">
          <w:rPr>
            <w:noProof/>
            <w:webHidden/>
          </w:rPr>
          <w:t>6</w:t>
        </w:r>
        <w:r w:rsidR="007B5B09">
          <w:rPr>
            <w:noProof/>
            <w:webHidden/>
          </w:rPr>
          <w:fldChar w:fldCharType="end"/>
        </w:r>
      </w:hyperlink>
    </w:p>
    <w:p w:rsidR="007B5B09" w:rsidRPr="00D3090A" w:rsidRDefault="004B01EA">
      <w:pPr>
        <w:pStyle w:val="Indholdsfortegnelse3"/>
        <w:tabs>
          <w:tab w:val="left" w:pos="1200"/>
          <w:tab w:val="right" w:leader="dot" w:pos="8495"/>
        </w:tabs>
        <w:rPr>
          <w:iCs w:val="0"/>
          <w:noProof/>
          <w:szCs w:val="22"/>
        </w:rPr>
      </w:pPr>
      <w:hyperlink w:anchor="_Toc341024631" w:history="1">
        <w:r w:rsidR="007B5B09" w:rsidRPr="004720A2">
          <w:rPr>
            <w:rStyle w:val="Hyperlink"/>
            <w:noProof/>
          </w:rPr>
          <w:t>1.5.1</w:t>
        </w:r>
        <w:r w:rsidR="007B5B09" w:rsidRPr="00D3090A">
          <w:rPr>
            <w:iCs w:val="0"/>
            <w:noProof/>
            <w:szCs w:val="22"/>
          </w:rPr>
          <w:tab/>
        </w:r>
        <w:r w:rsidR="007B5B09" w:rsidRPr="004720A2">
          <w:rPr>
            <w:rStyle w:val="Hyperlink"/>
            <w:noProof/>
          </w:rPr>
          <w:t>Den fremtidige situation efter indførelse af løsningen</w:t>
        </w:r>
        <w:r w:rsidR="007B5B09">
          <w:rPr>
            <w:noProof/>
            <w:webHidden/>
          </w:rPr>
          <w:tab/>
        </w:r>
        <w:r w:rsidR="007B5B09">
          <w:rPr>
            <w:noProof/>
            <w:webHidden/>
          </w:rPr>
          <w:fldChar w:fldCharType="begin"/>
        </w:r>
        <w:r w:rsidR="007B5B09">
          <w:rPr>
            <w:noProof/>
            <w:webHidden/>
          </w:rPr>
          <w:instrText xml:space="preserve"> PAGEREF _Toc341024631 \h </w:instrText>
        </w:r>
        <w:r w:rsidR="007B5B09">
          <w:rPr>
            <w:noProof/>
            <w:webHidden/>
          </w:rPr>
        </w:r>
        <w:r w:rsidR="007B5B09">
          <w:rPr>
            <w:noProof/>
            <w:webHidden/>
          </w:rPr>
          <w:fldChar w:fldCharType="separate"/>
        </w:r>
        <w:r w:rsidR="0091000E">
          <w:rPr>
            <w:noProof/>
            <w:webHidden/>
          </w:rPr>
          <w:t>6</w:t>
        </w:r>
        <w:r w:rsidR="007B5B09">
          <w:rPr>
            <w:noProof/>
            <w:webHidden/>
          </w:rPr>
          <w:fldChar w:fldCharType="end"/>
        </w:r>
      </w:hyperlink>
    </w:p>
    <w:p w:rsidR="007B5B09" w:rsidRPr="00D3090A" w:rsidRDefault="004B01EA">
      <w:pPr>
        <w:pStyle w:val="Indholdsfortegnelse3"/>
        <w:tabs>
          <w:tab w:val="left" w:pos="1200"/>
          <w:tab w:val="right" w:leader="dot" w:pos="8495"/>
        </w:tabs>
        <w:rPr>
          <w:iCs w:val="0"/>
          <w:noProof/>
          <w:szCs w:val="22"/>
        </w:rPr>
      </w:pPr>
      <w:hyperlink w:anchor="_Toc341024632" w:history="1">
        <w:r w:rsidR="007B5B09" w:rsidRPr="004720A2">
          <w:rPr>
            <w:rStyle w:val="Hyperlink"/>
            <w:noProof/>
          </w:rPr>
          <w:t>1.5.2</w:t>
        </w:r>
        <w:r w:rsidR="007B5B09" w:rsidRPr="00D3090A">
          <w:rPr>
            <w:iCs w:val="0"/>
            <w:noProof/>
            <w:szCs w:val="22"/>
          </w:rPr>
          <w:tab/>
        </w:r>
        <w:r w:rsidR="007B5B09" w:rsidRPr="004720A2">
          <w:rPr>
            <w:rStyle w:val="Hyperlink"/>
            <w:noProof/>
          </w:rPr>
          <w:t>Den nuværende situation</w:t>
        </w:r>
        <w:r w:rsidR="007B5B09">
          <w:rPr>
            <w:noProof/>
            <w:webHidden/>
          </w:rPr>
          <w:tab/>
        </w:r>
        <w:r w:rsidR="007B5B09">
          <w:rPr>
            <w:noProof/>
            <w:webHidden/>
          </w:rPr>
          <w:fldChar w:fldCharType="begin"/>
        </w:r>
        <w:r w:rsidR="007B5B09">
          <w:rPr>
            <w:noProof/>
            <w:webHidden/>
          </w:rPr>
          <w:instrText xml:space="preserve"> PAGEREF _Toc341024632 \h </w:instrText>
        </w:r>
        <w:r w:rsidR="007B5B09">
          <w:rPr>
            <w:noProof/>
            <w:webHidden/>
          </w:rPr>
        </w:r>
        <w:r w:rsidR="007B5B09">
          <w:rPr>
            <w:noProof/>
            <w:webHidden/>
          </w:rPr>
          <w:fldChar w:fldCharType="separate"/>
        </w:r>
        <w:r w:rsidR="0091000E">
          <w:rPr>
            <w:noProof/>
            <w:webHidden/>
          </w:rPr>
          <w:t>7</w:t>
        </w:r>
        <w:r w:rsidR="007B5B09">
          <w:rPr>
            <w:noProof/>
            <w:webHidden/>
          </w:rPr>
          <w:fldChar w:fldCharType="end"/>
        </w:r>
      </w:hyperlink>
    </w:p>
    <w:p w:rsidR="007B5B09" w:rsidRPr="00D3090A" w:rsidRDefault="004B01EA">
      <w:pPr>
        <w:pStyle w:val="Indholdsfortegnelse3"/>
        <w:tabs>
          <w:tab w:val="left" w:pos="1200"/>
          <w:tab w:val="right" w:leader="dot" w:pos="8495"/>
        </w:tabs>
        <w:rPr>
          <w:iCs w:val="0"/>
          <w:noProof/>
          <w:szCs w:val="22"/>
        </w:rPr>
      </w:pPr>
      <w:hyperlink w:anchor="_Toc341024633" w:history="1">
        <w:r w:rsidR="007B5B09" w:rsidRPr="004720A2">
          <w:rPr>
            <w:rStyle w:val="Hyperlink"/>
            <w:noProof/>
          </w:rPr>
          <w:t>1.5.3</w:t>
        </w:r>
        <w:r w:rsidR="007B5B09" w:rsidRPr="00D3090A">
          <w:rPr>
            <w:iCs w:val="0"/>
            <w:noProof/>
            <w:szCs w:val="22"/>
          </w:rPr>
          <w:tab/>
        </w:r>
        <w:r w:rsidR="007B5B09" w:rsidRPr="004720A2">
          <w:rPr>
            <w:rStyle w:val="Hyperlink"/>
            <w:noProof/>
          </w:rPr>
          <w:t>Forretningens mål med programmet</w:t>
        </w:r>
        <w:r w:rsidR="007B5B09">
          <w:rPr>
            <w:noProof/>
            <w:webHidden/>
          </w:rPr>
          <w:tab/>
        </w:r>
        <w:r w:rsidR="007B5B09">
          <w:rPr>
            <w:noProof/>
            <w:webHidden/>
          </w:rPr>
          <w:fldChar w:fldCharType="begin"/>
        </w:r>
        <w:r w:rsidR="007B5B09">
          <w:rPr>
            <w:noProof/>
            <w:webHidden/>
          </w:rPr>
          <w:instrText xml:space="preserve"> PAGEREF _Toc341024633 \h </w:instrText>
        </w:r>
        <w:r w:rsidR="007B5B09">
          <w:rPr>
            <w:noProof/>
            <w:webHidden/>
          </w:rPr>
        </w:r>
        <w:r w:rsidR="007B5B09">
          <w:rPr>
            <w:noProof/>
            <w:webHidden/>
          </w:rPr>
          <w:fldChar w:fldCharType="separate"/>
        </w:r>
        <w:r w:rsidR="0091000E">
          <w:rPr>
            <w:noProof/>
            <w:webHidden/>
          </w:rPr>
          <w:t>7</w:t>
        </w:r>
        <w:r w:rsidR="007B5B09">
          <w:rPr>
            <w:noProof/>
            <w:webHidden/>
          </w:rPr>
          <w:fldChar w:fldCharType="end"/>
        </w:r>
      </w:hyperlink>
    </w:p>
    <w:p w:rsidR="007B5B09" w:rsidRPr="00D3090A" w:rsidRDefault="004B01EA">
      <w:pPr>
        <w:pStyle w:val="Indholdsfortegnelse3"/>
        <w:tabs>
          <w:tab w:val="left" w:pos="1200"/>
          <w:tab w:val="right" w:leader="dot" w:pos="8495"/>
        </w:tabs>
        <w:rPr>
          <w:iCs w:val="0"/>
          <w:noProof/>
          <w:szCs w:val="22"/>
        </w:rPr>
      </w:pPr>
      <w:hyperlink w:anchor="_Toc341024634" w:history="1">
        <w:r w:rsidR="007B5B09" w:rsidRPr="004720A2">
          <w:rPr>
            <w:rStyle w:val="Hyperlink"/>
            <w:noProof/>
          </w:rPr>
          <w:t>1.5.4</w:t>
        </w:r>
        <w:r w:rsidR="007B5B09" w:rsidRPr="00D3090A">
          <w:rPr>
            <w:iCs w:val="0"/>
            <w:noProof/>
            <w:szCs w:val="22"/>
          </w:rPr>
          <w:tab/>
        </w:r>
        <w:r w:rsidR="007B5B09" w:rsidRPr="004720A2">
          <w:rPr>
            <w:rStyle w:val="Hyperlink"/>
            <w:noProof/>
          </w:rPr>
          <w:t>Situationen hvis ikke programmet ikke gennemføres</w:t>
        </w:r>
        <w:r w:rsidR="007B5B09">
          <w:rPr>
            <w:noProof/>
            <w:webHidden/>
          </w:rPr>
          <w:tab/>
        </w:r>
        <w:r w:rsidR="007B5B09">
          <w:rPr>
            <w:noProof/>
            <w:webHidden/>
          </w:rPr>
          <w:fldChar w:fldCharType="begin"/>
        </w:r>
        <w:r w:rsidR="007B5B09">
          <w:rPr>
            <w:noProof/>
            <w:webHidden/>
          </w:rPr>
          <w:instrText xml:space="preserve"> PAGEREF _Toc341024634 \h </w:instrText>
        </w:r>
        <w:r w:rsidR="007B5B09">
          <w:rPr>
            <w:noProof/>
            <w:webHidden/>
          </w:rPr>
        </w:r>
        <w:r w:rsidR="007B5B09">
          <w:rPr>
            <w:noProof/>
            <w:webHidden/>
          </w:rPr>
          <w:fldChar w:fldCharType="separate"/>
        </w:r>
        <w:r w:rsidR="0091000E">
          <w:rPr>
            <w:noProof/>
            <w:webHidden/>
          </w:rPr>
          <w:t>7</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35" w:history="1">
        <w:r w:rsidR="007B5B09" w:rsidRPr="004720A2">
          <w:rPr>
            <w:rStyle w:val="Hyperlink"/>
            <w:noProof/>
          </w:rPr>
          <w:t>1.6</w:t>
        </w:r>
        <w:r w:rsidR="007B5B09" w:rsidRPr="00D3090A">
          <w:rPr>
            <w:b w:val="0"/>
            <w:smallCaps w:val="0"/>
            <w:noProof/>
            <w:szCs w:val="22"/>
          </w:rPr>
          <w:tab/>
        </w:r>
        <w:r w:rsidR="007B5B09" w:rsidRPr="004720A2">
          <w:rPr>
            <w:rStyle w:val="Hyperlink"/>
            <w:noProof/>
          </w:rPr>
          <w:t>Programmets baggrund</w:t>
        </w:r>
        <w:r w:rsidR="007B5B09">
          <w:rPr>
            <w:noProof/>
            <w:webHidden/>
          </w:rPr>
          <w:tab/>
        </w:r>
        <w:r w:rsidR="007B5B09">
          <w:rPr>
            <w:noProof/>
            <w:webHidden/>
          </w:rPr>
          <w:fldChar w:fldCharType="begin"/>
        </w:r>
        <w:r w:rsidR="007B5B09">
          <w:rPr>
            <w:noProof/>
            <w:webHidden/>
          </w:rPr>
          <w:instrText xml:space="preserve"> PAGEREF _Toc341024635 \h </w:instrText>
        </w:r>
        <w:r w:rsidR="007B5B09">
          <w:rPr>
            <w:noProof/>
            <w:webHidden/>
          </w:rPr>
        </w:r>
        <w:r w:rsidR="007B5B09">
          <w:rPr>
            <w:noProof/>
            <w:webHidden/>
          </w:rPr>
          <w:fldChar w:fldCharType="separate"/>
        </w:r>
        <w:r w:rsidR="0091000E">
          <w:rPr>
            <w:noProof/>
            <w:webHidden/>
          </w:rPr>
          <w:t>8</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36" w:history="1">
        <w:r w:rsidR="007B5B09" w:rsidRPr="004720A2">
          <w:rPr>
            <w:rStyle w:val="Hyperlink"/>
            <w:noProof/>
          </w:rPr>
          <w:t>2.</w:t>
        </w:r>
        <w:r w:rsidR="007B5B09" w:rsidRPr="00D3090A">
          <w:rPr>
            <w:b w:val="0"/>
            <w:bCs w:val="0"/>
            <w:caps w:val="0"/>
            <w:noProof/>
            <w:sz w:val="22"/>
            <w:szCs w:val="22"/>
          </w:rPr>
          <w:tab/>
        </w:r>
        <w:r w:rsidR="007B5B09" w:rsidRPr="004720A2">
          <w:rPr>
            <w:rStyle w:val="Hyperlink"/>
            <w:noProof/>
          </w:rPr>
          <w:t>Rammer for programmet</w:t>
        </w:r>
        <w:r w:rsidR="007B5B09">
          <w:rPr>
            <w:noProof/>
            <w:webHidden/>
          </w:rPr>
          <w:tab/>
        </w:r>
        <w:r w:rsidR="007B5B09">
          <w:rPr>
            <w:noProof/>
            <w:webHidden/>
          </w:rPr>
          <w:fldChar w:fldCharType="begin"/>
        </w:r>
        <w:r w:rsidR="007B5B09">
          <w:rPr>
            <w:noProof/>
            <w:webHidden/>
          </w:rPr>
          <w:instrText xml:space="preserve"> PAGEREF _Toc341024636 \h </w:instrText>
        </w:r>
        <w:r w:rsidR="007B5B09">
          <w:rPr>
            <w:noProof/>
            <w:webHidden/>
          </w:rPr>
        </w:r>
        <w:r w:rsidR="007B5B09">
          <w:rPr>
            <w:noProof/>
            <w:webHidden/>
          </w:rPr>
          <w:fldChar w:fldCharType="separate"/>
        </w:r>
        <w:r w:rsidR="0091000E">
          <w:rPr>
            <w:noProof/>
            <w:webHidden/>
          </w:rPr>
          <w:t>9</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37" w:history="1">
        <w:r w:rsidR="007B5B09" w:rsidRPr="004720A2">
          <w:rPr>
            <w:rStyle w:val="Hyperlink"/>
            <w:noProof/>
          </w:rPr>
          <w:t>2.1</w:t>
        </w:r>
        <w:r w:rsidR="007B5B09" w:rsidRPr="00D3090A">
          <w:rPr>
            <w:b w:val="0"/>
            <w:smallCaps w:val="0"/>
            <w:noProof/>
            <w:szCs w:val="22"/>
          </w:rPr>
          <w:tab/>
        </w:r>
        <w:r w:rsidR="007B5B09" w:rsidRPr="004720A2">
          <w:rPr>
            <w:rStyle w:val="Hyperlink"/>
            <w:noProof/>
          </w:rPr>
          <w:t>Beskrivelse af grundide</w:t>
        </w:r>
        <w:r w:rsidR="007B5B09">
          <w:rPr>
            <w:noProof/>
            <w:webHidden/>
          </w:rPr>
          <w:tab/>
        </w:r>
        <w:r w:rsidR="007B5B09">
          <w:rPr>
            <w:noProof/>
            <w:webHidden/>
          </w:rPr>
          <w:fldChar w:fldCharType="begin"/>
        </w:r>
        <w:r w:rsidR="007B5B09">
          <w:rPr>
            <w:noProof/>
            <w:webHidden/>
          </w:rPr>
          <w:instrText xml:space="preserve"> PAGEREF _Toc341024637 \h </w:instrText>
        </w:r>
        <w:r w:rsidR="007B5B09">
          <w:rPr>
            <w:noProof/>
            <w:webHidden/>
          </w:rPr>
        </w:r>
        <w:r w:rsidR="007B5B09">
          <w:rPr>
            <w:noProof/>
            <w:webHidden/>
          </w:rPr>
          <w:fldChar w:fldCharType="separate"/>
        </w:r>
        <w:r w:rsidR="0091000E">
          <w:rPr>
            <w:noProof/>
            <w:webHidden/>
          </w:rPr>
          <w:t>9</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38" w:history="1">
        <w:r w:rsidR="007B5B09" w:rsidRPr="004720A2">
          <w:rPr>
            <w:rStyle w:val="Hyperlink"/>
            <w:noProof/>
          </w:rPr>
          <w:t>2.2</w:t>
        </w:r>
        <w:r w:rsidR="007B5B09" w:rsidRPr="00D3090A">
          <w:rPr>
            <w:b w:val="0"/>
            <w:smallCaps w:val="0"/>
            <w:noProof/>
            <w:szCs w:val="22"/>
          </w:rPr>
          <w:tab/>
        </w:r>
        <w:r w:rsidR="007B5B09" w:rsidRPr="004720A2">
          <w:rPr>
            <w:rStyle w:val="Hyperlink"/>
            <w:noProof/>
          </w:rPr>
          <w:t>Forretningsmæssige mål</w:t>
        </w:r>
        <w:r w:rsidR="007B5B09">
          <w:rPr>
            <w:noProof/>
            <w:webHidden/>
          </w:rPr>
          <w:tab/>
        </w:r>
        <w:r w:rsidR="007B5B09">
          <w:rPr>
            <w:noProof/>
            <w:webHidden/>
          </w:rPr>
          <w:fldChar w:fldCharType="begin"/>
        </w:r>
        <w:r w:rsidR="007B5B09">
          <w:rPr>
            <w:noProof/>
            <w:webHidden/>
          </w:rPr>
          <w:instrText xml:space="preserve"> PAGEREF _Toc341024638 \h </w:instrText>
        </w:r>
        <w:r w:rsidR="007B5B09">
          <w:rPr>
            <w:noProof/>
            <w:webHidden/>
          </w:rPr>
        </w:r>
        <w:r w:rsidR="007B5B09">
          <w:rPr>
            <w:noProof/>
            <w:webHidden/>
          </w:rPr>
          <w:fldChar w:fldCharType="separate"/>
        </w:r>
        <w:r w:rsidR="0091000E">
          <w:rPr>
            <w:noProof/>
            <w:webHidden/>
          </w:rPr>
          <w:t>10</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39" w:history="1">
        <w:r w:rsidR="007B5B09" w:rsidRPr="004720A2">
          <w:rPr>
            <w:rStyle w:val="Hyperlink"/>
            <w:noProof/>
          </w:rPr>
          <w:t>2.3</w:t>
        </w:r>
        <w:r w:rsidR="007B5B09" w:rsidRPr="00D3090A">
          <w:rPr>
            <w:b w:val="0"/>
            <w:smallCaps w:val="0"/>
            <w:noProof/>
            <w:szCs w:val="22"/>
          </w:rPr>
          <w:tab/>
        </w:r>
        <w:r w:rsidR="007B5B09" w:rsidRPr="004720A2">
          <w:rPr>
            <w:rStyle w:val="Hyperlink"/>
            <w:noProof/>
          </w:rPr>
          <w:t>Formål</w:t>
        </w:r>
        <w:r w:rsidR="007B5B09">
          <w:rPr>
            <w:noProof/>
            <w:webHidden/>
          </w:rPr>
          <w:tab/>
        </w:r>
        <w:r w:rsidR="007B5B09">
          <w:rPr>
            <w:noProof/>
            <w:webHidden/>
          </w:rPr>
          <w:fldChar w:fldCharType="begin"/>
        </w:r>
        <w:r w:rsidR="007B5B09">
          <w:rPr>
            <w:noProof/>
            <w:webHidden/>
          </w:rPr>
          <w:instrText xml:space="preserve"> PAGEREF _Toc341024639 \h </w:instrText>
        </w:r>
        <w:r w:rsidR="007B5B09">
          <w:rPr>
            <w:noProof/>
            <w:webHidden/>
          </w:rPr>
        </w:r>
        <w:r w:rsidR="007B5B09">
          <w:rPr>
            <w:noProof/>
            <w:webHidden/>
          </w:rPr>
          <w:fldChar w:fldCharType="separate"/>
        </w:r>
        <w:r w:rsidR="0091000E">
          <w:rPr>
            <w:noProof/>
            <w:webHidden/>
          </w:rPr>
          <w:t>10</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40" w:history="1">
        <w:r w:rsidR="007B5B09" w:rsidRPr="004720A2">
          <w:rPr>
            <w:rStyle w:val="Hyperlink"/>
            <w:noProof/>
          </w:rPr>
          <w:t>2.4</w:t>
        </w:r>
        <w:r w:rsidR="007B5B09" w:rsidRPr="00D3090A">
          <w:rPr>
            <w:b w:val="0"/>
            <w:smallCaps w:val="0"/>
            <w:noProof/>
            <w:szCs w:val="22"/>
          </w:rPr>
          <w:tab/>
        </w:r>
        <w:r w:rsidR="007B5B09" w:rsidRPr="004720A2">
          <w:rPr>
            <w:rStyle w:val="Hyperlink"/>
            <w:noProof/>
          </w:rPr>
          <w:t>Mål</w:t>
        </w:r>
        <w:r w:rsidR="007B5B09">
          <w:rPr>
            <w:noProof/>
            <w:webHidden/>
          </w:rPr>
          <w:tab/>
        </w:r>
        <w:r w:rsidR="007B5B09">
          <w:rPr>
            <w:noProof/>
            <w:webHidden/>
          </w:rPr>
          <w:fldChar w:fldCharType="begin"/>
        </w:r>
        <w:r w:rsidR="007B5B09">
          <w:rPr>
            <w:noProof/>
            <w:webHidden/>
          </w:rPr>
          <w:instrText xml:space="preserve"> PAGEREF _Toc341024640 \h </w:instrText>
        </w:r>
        <w:r w:rsidR="007B5B09">
          <w:rPr>
            <w:noProof/>
            <w:webHidden/>
          </w:rPr>
        </w:r>
        <w:r w:rsidR="007B5B09">
          <w:rPr>
            <w:noProof/>
            <w:webHidden/>
          </w:rPr>
          <w:fldChar w:fldCharType="separate"/>
        </w:r>
        <w:r w:rsidR="0091000E">
          <w:rPr>
            <w:noProof/>
            <w:webHidden/>
          </w:rPr>
          <w:t>10</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41" w:history="1">
        <w:r w:rsidR="007B5B09" w:rsidRPr="004720A2">
          <w:rPr>
            <w:rStyle w:val="Hyperlink"/>
            <w:noProof/>
          </w:rPr>
          <w:t>2.5</w:t>
        </w:r>
        <w:r w:rsidR="007B5B09" w:rsidRPr="00D3090A">
          <w:rPr>
            <w:b w:val="0"/>
            <w:smallCaps w:val="0"/>
            <w:noProof/>
            <w:szCs w:val="22"/>
          </w:rPr>
          <w:tab/>
        </w:r>
        <w:r w:rsidR="007B5B09" w:rsidRPr="004720A2">
          <w:rPr>
            <w:rStyle w:val="Hyperlink"/>
            <w:noProof/>
          </w:rPr>
          <w:t>Leverancer</w:t>
        </w:r>
        <w:r w:rsidR="007B5B09">
          <w:rPr>
            <w:noProof/>
            <w:webHidden/>
          </w:rPr>
          <w:tab/>
        </w:r>
        <w:r w:rsidR="007B5B09">
          <w:rPr>
            <w:noProof/>
            <w:webHidden/>
          </w:rPr>
          <w:fldChar w:fldCharType="begin"/>
        </w:r>
        <w:r w:rsidR="007B5B09">
          <w:rPr>
            <w:noProof/>
            <w:webHidden/>
          </w:rPr>
          <w:instrText xml:space="preserve"> PAGEREF _Toc341024641 \h </w:instrText>
        </w:r>
        <w:r w:rsidR="007B5B09">
          <w:rPr>
            <w:noProof/>
            <w:webHidden/>
          </w:rPr>
        </w:r>
        <w:r w:rsidR="007B5B09">
          <w:rPr>
            <w:noProof/>
            <w:webHidden/>
          </w:rPr>
          <w:fldChar w:fldCharType="separate"/>
        </w:r>
        <w:r w:rsidR="0091000E">
          <w:rPr>
            <w:noProof/>
            <w:webHidden/>
          </w:rPr>
          <w:t>11</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42" w:history="1">
        <w:r w:rsidR="007B5B09" w:rsidRPr="004720A2">
          <w:rPr>
            <w:rStyle w:val="Hyperlink"/>
            <w:noProof/>
          </w:rPr>
          <w:t>3.</w:t>
        </w:r>
        <w:r w:rsidR="007B5B09" w:rsidRPr="00D3090A">
          <w:rPr>
            <w:b w:val="0"/>
            <w:bCs w:val="0"/>
            <w:caps w:val="0"/>
            <w:noProof/>
            <w:sz w:val="22"/>
            <w:szCs w:val="22"/>
          </w:rPr>
          <w:tab/>
        </w:r>
        <w:r w:rsidR="007B5B09" w:rsidRPr="004720A2">
          <w:rPr>
            <w:rStyle w:val="Hyperlink"/>
            <w:noProof/>
          </w:rPr>
          <w:t>Aktørernes opgaver i relation til programmet</w:t>
        </w:r>
        <w:r w:rsidR="007B5B09">
          <w:rPr>
            <w:noProof/>
            <w:webHidden/>
          </w:rPr>
          <w:tab/>
        </w:r>
        <w:r w:rsidR="007B5B09">
          <w:rPr>
            <w:noProof/>
            <w:webHidden/>
          </w:rPr>
          <w:fldChar w:fldCharType="begin"/>
        </w:r>
        <w:r w:rsidR="007B5B09">
          <w:rPr>
            <w:noProof/>
            <w:webHidden/>
          </w:rPr>
          <w:instrText xml:space="preserve"> PAGEREF _Toc341024642 \h </w:instrText>
        </w:r>
        <w:r w:rsidR="007B5B09">
          <w:rPr>
            <w:noProof/>
            <w:webHidden/>
          </w:rPr>
        </w:r>
        <w:r w:rsidR="007B5B09">
          <w:rPr>
            <w:noProof/>
            <w:webHidden/>
          </w:rPr>
          <w:fldChar w:fldCharType="separate"/>
        </w:r>
        <w:r w:rsidR="0091000E">
          <w:rPr>
            <w:noProof/>
            <w:webHidden/>
          </w:rPr>
          <w:t>12</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43" w:history="1">
        <w:r w:rsidR="007B5B09" w:rsidRPr="004720A2">
          <w:rPr>
            <w:rStyle w:val="Hyperlink"/>
            <w:noProof/>
          </w:rPr>
          <w:t>3.1</w:t>
        </w:r>
        <w:r w:rsidR="007B5B09" w:rsidRPr="00D3090A">
          <w:rPr>
            <w:b w:val="0"/>
            <w:smallCaps w:val="0"/>
            <w:noProof/>
            <w:szCs w:val="22"/>
          </w:rPr>
          <w:tab/>
        </w:r>
        <w:r w:rsidR="007B5B09" w:rsidRPr="004720A2">
          <w:rPr>
            <w:rStyle w:val="Hyperlink"/>
            <w:noProof/>
          </w:rPr>
          <w:t>Ministeriet for By, Bolig og Landdistrikter</w:t>
        </w:r>
        <w:r w:rsidR="007B5B09">
          <w:rPr>
            <w:noProof/>
            <w:webHidden/>
          </w:rPr>
          <w:tab/>
        </w:r>
        <w:r w:rsidR="007B5B09">
          <w:rPr>
            <w:noProof/>
            <w:webHidden/>
          </w:rPr>
          <w:fldChar w:fldCharType="begin"/>
        </w:r>
        <w:r w:rsidR="007B5B09">
          <w:rPr>
            <w:noProof/>
            <w:webHidden/>
          </w:rPr>
          <w:instrText xml:space="preserve"> PAGEREF _Toc341024643 \h </w:instrText>
        </w:r>
        <w:r w:rsidR="007B5B09">
          <w:rPr>
            <w:noProof/>
            <w:webHidden/>
          </w:rPr>
        </w:r>
        <w:r w:rsidR="007B5B09">
          <w:rPr>
            <w:noProof/>
            <w:webHidden/>
          </w:rPr>
          <w:fldChar w:fldCharType="separate"/>
        </w:r>
        <w:r w:rsidR="0091000E">
          <w:rPr>
            <w:noProof/>
            <w:webHidden/>
          </w:rPr>
          <w:t>12</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44" w:history="1">
        <w:r w:rsidR="007B5B09" w:rsidRPr="004720A2">
          <w:rPr>
            <w:rStyle w:val="Hyperlink"/>
            <w:noProof/>
          </w:rPr>
          <w:t>3.2</w:t>
        </w:r>
        <w:r w:rsidR="007B5B09" w:rsidRPr="00D3090A">
          <w:rPr>
            <w:b w:val="0"/>
            <w:smallCaps w:val="0"/>
            <w:noProof/>
            <w:szCs w:val="22"/>
          </w:rPr>
          <w:tab/>
        </w:r>
        <w:r w:rsidR="007B5B09" w:rsidRPr="004720A2">
          <w:rPr>
            <w:rStyle w:val="Hyperlink"/>
            <w:noProof/>
          </w:rPr>
          <w:t>Kommunerne</w:t>
        </w:r>
        <w:r w:rsidR="007B5B09">
          <w:rPr>
            <w:noProof/>
            <w:webHidden/>
          </w:rPr>
          <w:tab/>
        </w:r>
        <w:r w:rsidR="007B5B09">
          <w:rPr>
            <w:noProof/>
            <w:webHidden/>
          </w:rPr>
          <w:fldChar w:fldCharType="begin"/>
        </w:r>
        <w:r w:rsidR="007B5B09">
          <w:rPr>
            <w:noProof/>
            <w:webHidden/>
          </w:rPr>
          <w:instrText xml:space="preserve"> PAGEREF _Toc341024644 \h </w:instrText>
        </w:r>
        <w:r w:rsidR="007B5B09">
          <w:rPr>
            <w:noProof/>
            <w:webHidden/>
          </w:rPr>
        </w:r>
        <w:r w:rsidR="007B5B09">
          <w:rPr>
            <w:noProof/>
            <w:webHidden/>
          </w:rPr>
          <w:fldChar w:fldCharType="separate"/>
        </w:r>
        <w:r w:rsidR="0091000E">
          <w:rPr>
            <w:noProof/>
            <w:webHidden/>
          </w:rPr>
          <w:t>12</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45" w:history="1">
        <w:r w:rsidR="007B5B09" w:rsidRPr="004720A2">
          <w:rPr>
            <w:rStyle w:val="Hyperlink"/>
            <w:noProof/>
          </w:rPr>
          <w:t>3.3</w:t>
        </w:r>
        <w:r w:rsidR="007B5B09" w:rsidRPr="00D3090A">
          <w:rPr>
            <w:b w:val="0"/>
            <w:smallCaps w:val="0"/>
            <w:noProof/>
            <w:szCs w:val="22"/>
          </w:rPr>
          <w:tab/>
        </w:r>
        <w:r w:rsidR="007B5B09" w:rsidRPr="004720A2">
          <w:rPr>
            <w:rStyle w:val="Hyperlink"/>
            <w:noProof/>
          </w:rPr>
          <w:t>Kort- og Matrikelstyrelsen</w:t>
        </w:r>
        <w:r w:rsidR="007B5B09">
          <w:rPr>
            <w:noProof/>
            <w:webHidden/>
          </w:rPr>
          <w:tab/>
        </w:r>
        <w:r w:rsidR="007B5B09">
          <w:rPr>
            <w:noProof/>
            <w:webHidden/>
          </w:rPr>
          <w:fldChar w:fldCharType="begin"/>
        </w:r>
        <w:r w:rsidR="007B5B09">
          <w:rPr>
            <w:noProof/>
            <w:webHidden/>
          </w:rPr>
          <w:instrText xml:space="preserve"> PAGEREF _Toc341024645 \h </w:instrText>
        </w:r>
        <w:r w:rsidR="007B5B09">
          <w:rPr>
            <w:noProof/>
            <w:webHidden/>
          </w:rPr>
        </w:r>
        <w:r w:rsidR="007B5B09">
          <w:rPr>
            <w:noProof/>
            <w:webHidden/>
          </w:rPr>
          <w:fldChar w:fldCharType="separate"/>
        </w:r>
        <w:r w:rsidR="0091000E">
          <w:rPr>
            <w:noProof/>
            <w:webHidden/>
          </w:rPr>
          <w:t>12</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46" w:history="1">
        <w:r w:rsidR="007B5B09" w:rsidRPr="004720A2">
          <w:rPr>
            <w:rStyle w:val="Hyperlink"/>
            <w:noProof/>
          </w:rPr>
          <w:t>3.4</w:t>
        </w:r>
        <w:r w:rsidR="007B5B09" w:rsidRPr="00D3090A">
          <w:rPr>
            <w:b w:val="0"/>
            <w:smallCaps w:val="0"/>
            <w:noProof/>
            <w:szCs w:val="22"/>
          </w:rPr>
          <w:tab/>
        </w:r>
        <w:r w:rsidR="007B5B09" w:rsidRPr="004720A2">
          <w:rPr>
            <w:rStyle w:val="Hyperlink"/>
            <w:noProof/>
          </w:rPr>
          <w:t>Skat</w:t>
        </w:r>
        <w:r w:rsidR="007B5B09">
          <w:rPr>
            <w:noProof/>
            <w:webHidden/>
          </w:rPr>
          <w:tab/>
        </w:r>
        <w:r w:rsidR="007B5B09">
          <w:rPr>
            <w:noProof/>
            <w:webHidden/>
          </w:rPr>
          <w:fldChar w:fldCharType="begin"/>
        </w:r>
        <w:r w:rsidR="007B5B09">
          <w:rPr>
            <w:noProof/>
            <w:webHidden/>
          </w:rPr>
          <w:instrText xml:space="preserve"> PAGEREF _Toc341024646 \h </w:instrText>
        </w:r>
        <w:r w:rsidR="007B5B09">
          <w:rPr>
            <w:noProof/>
            <w:webHidden/>
          </w:rPr>
        </w:r>
        <w:r w:rsidR="007B5B09">
          <w:rPr>
            <w:noProof/>
            <w:webHidden/>
          </w:rPr>
          <w:fldChar w:fldCharType="separate"/>
        </w:r>
        <w:r w:rsidR="0091000E">
          <w:rPr>
            <w:noProof/>
            <w:webHidden/>
          </w:rPr>
          <w:t>13</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47" w:history="1">
        <w:r w:rsidR="007B5B09" w:rsidRPr="004720A2">
          <w:rPr>
            <w:rStyle w:val="Hyperlink"/>
            <w:noProof/>
          </w:rPr>
          <w:t>3.5</w:t>
        </w:r>
        <w:r w:rsidR="007B5B09" w:rsidRPr="00D3090A">
          <w:rPr>
            <w:b w:val="0"/>
            <w:smallCaps w:val="0"/>
            <w:noProof/>
            <w:szCs w:val="22"/>
          </w:rPr>
          <w:tab/>
        </w:r>
        <w:r w:rsidR="007B5B09" w:rsidRPr="004720A2">
          <w:rPr>
            <w:rStyle w:val="Hyperlink"/>
            <w:noProof/>
          </w:rPr>
          <w:t>Domstolsstyrelsen</w:t>
        </w:r>
        <w:r w:rsidR="007B5B09">
          <w:rPr>
            <w:noProof/>
            <w:webHidden/>
          </w:rPr>
          <w:tab/>
        </w:r>
        <w:r w:rsidR="007B5B09">
          <w:rPr>
            <w:noProof/>
            <w:webHidden/>
          </w:rPr>
          <w:fldChar w:fldCharType="begin"/>
        </w:r>
        <w:r w:rsidR="007B5B09">
          <w:rPr>
            <w:noProof/>
            <w:webHidden/>
          </w:rPr>
          <w:instrText xml:space="preserve"> PAGEREF _Toc341024647 \h </w:instrText>
        </w:r>
        <w:r w:rsidR="007B5B09">
          <w:rPr>
            <w:noProof/>
            <w:webHidden/>
          </w:rPr>
        </w:r>
        <w:r w:rsidR="007B5B09">
          <w:rPr>
            <w:noProof/>
            <w:webHidden/>
          </w:rPr>
          <w:fldChar w:fldCharType="separate"/>
        </w:r>
        <w:r w:rsidR="0091000E">
          <w:rPr>
            <w:noProof/>
            <w:webHidden/>
          </w:rPr>
          <w:t>13</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48" w:history="1">
        <w:r w:rsidR="007B5B09" w:rsidRPr="004720A2">
          <w:rPr>
            <w:rStyle w:val="Hyperlink"/>
            <w:noProof/>
          </w:rPr>
          <w:t>4.</w:t>
        </w:r>
        <w:r w:rsidR="007B5B09" w:rsidRPr="00D3090A">
          <w:rPr>
            <w:b w:val="0"/>
            <w:bCs w:val="0"/>
            <w:caps w:val="0"/>
            <w:noProof/>
            <w:sz w:val="22"/>
            <w:szCs w:val="22"/>
          </w:rPr>
          <w:tab/>
        </w:r>
        <w:r w:rsidR="007B5B09" w:rsidRPr="004720A2">
          <w:rPr>
            <w:rStyle w:val="Hyperlink"/>
            <w:noProof/>
          </w:rPr>
          <w:t>Principper for implementeringen</w:t>
        </w:r>
        <w:r w:rsidR="007B5B09">
          <w:rPr>
            <w:noProof/>
            <w:webHidden/>
          </w:rPr>
          <w:tab/>
        </w:r>
        <w:r w:rsidR="007B5B09">
          <w:rPr>
            <w:noProof/>
            <w:webHidden/>
          </w:rPr>
          <w:fldChar w:fldCharType="begin"/>
        </w:r>
        <w:r w:rsidR="007B5B09">
          <w:rPr>
            <w:noProof/>
            <w:webHidden/>
          </w:rPr>
          <w:instrText xml:space="preserve"> PAGEREF _Toc341024648 \h </w:instrText>
        </w:r>
        <w:r w:rsidR="007B5B09">
          <w:rPr>
            <w:noProof/>
            <w:webHidden/>
          </w:rPr>
        </w:r>
        <w:r w:rsidR="007B5B09">
          <w:rPr>
            <w:noProof/>
            <w:webHidden/>
          </w:rPr>
          <w:fldChar w:fldCharType="separate"/>
        </w:r>
        <w:r w:rsidR="0091000E">
          <w:rPr>
            <w:noProof/>
            <w:webHidden/>
          </w:rPr>
          <w:t>14</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49" w:history="1">
        <w:r w:rsidR="007B5B09" w:rsidRPr="004720A2">
          <w:rPr>
            <w:rStyle w:val="Hyperlink"/>
            <w:noProof/>
          </w:rPr>
          <w:t>4.1</w:t>
        </w:r>
        <w:r w:rsidR="007B5B09" w:rsidRPr="00D3090A">
          <w:rPr>
            <w:b w:val="0"/>
            <w:smallCaps w:val="0"/>
            <w:noProof/>
            <w:szCs w:val="22"/>
          </w:rPr>
          <w:tab/>
        </w:r>
        <w:r w:rsidR="007B5B09" w:rsidRPr="004720A2">
          <w:rPr>
            <w:rStyle w:val="Hyperlink"/>
            <w:noProof/>
          </w:rPr>
          <w:t>Hovedtidsplan</w:t>
        </w:r>
        <w:r w:rsidR="007B5B09">
          <w:rPr>
            <w:noProof/>
            <w:webHidden/>
          </w:rPr>
          <w:tab/>
        </w:r>
        <w:r w:rsidR="007B5B09">
          <w:rPr>
            <w:noProof/>
            <w:webHidden/>
          </w:rPr>
          <w:fldChar w:fldCharType="begin"/>
        </w:r>
        <w:r w:rsidR="007B5B09">
          <w:rPr>
            <w:noProof/>
            <w:webHidden/>
          </w:rPr>
          <w:instrText xml:space="preserve"> PAGEREF _Toc341024649 \h </w:instrText>
        </w:r>
        <w:r w:rsidR="007B5B09">
          <w:rPr>
            <w:noProof/>
            <w:webHidden/>
          </w:rPr>
        </w:r>
        <w:r w:rsidR="007B5B09">
          <w:rPr>
            <w:noProof/>
            <w:webHidden/>
          </w:rPr>
          <w:fldChar w:fldCharType="separate"/>
        </w:r>
        <w:r w:rsidR="0091000E">
          <w:rPr>
            <w:noProof/>
            <w:webHidden/>
          </w:rPr>
          <w:t>14</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50" w:history="1">
        <w:r w:rsidR="007B5B09" w:rsidRPr="004720A2">
          <w:rPr>
            <w:rStyle w:val="Hyperlink"/>
            <w:noProof/>
          </w:rPr>
          <w:t>5.</w:t>
        </w:r>
        <w:r w:rsidR="007B5B09" w:rsidRPr="00D3090A">
          <w:rPr>
            <w:b w:val="0"/>
            <w:bCs w:val="0"/>
            <w:caps w:val="0"/>
            <w:noProof/>
            <w:sz w:val="22"/>
            <w:szCs w:val="22"/>
          </w:rPr>
          <w:tab/>
        </w:r>
        <w:r w:rsidR="007B5B09" w:rsidRPr="004720A2">
          <w:rPr>
            <w:rStyle w:val="Hyperlink"/>
            <w:noProof/>
          </w:rPr>
          <w:t>Organisering</w:t>
        </w:r>
        <w:r w:rsidR="007B5B09">
          <w:rPr>
            <w:noProof/>
            <w:webHidden/>
          </w:rPr>
          <w:tab/>
        </w:r>
        <w:r w:rsidR="007B5B09">
          <w:rPr>
            <w:noProof/>
            <w:webHidden/>
          </w:rPr>
          <w:fldChar w:fldCharType="begin"/>
        </w:r>
        <w:r w:rsidR="007B5B09">
          <w:rPr>
            <w:noProof/>
            <w:webHidden/>
          </w:rPr>
          <w:instrText xml:space="preserve"> PAGEREF _Toc341024650 \h </w:instrText>
        </w:r>
        <w:r w:rsidR="007B5B09">
          <w:rPr>
            <w:noProof/>
            <w:webHidden/>
          </w:rPr>
        </w:r>
        <w:r w:rsidR="007B5B09">
          <w:rPr>
            <w:noProof/>
            <w:webHidden/>
          </w:rPr>
          <w:fldChar w:fldCharType="separate"/>
        </w:r>
        <w:r w:rsidR="0091000E">
          <w:rPr>
            <w:noProof/>
            <w:webHidden/>
          </w:rPr>
          <w:t>17</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51" w:history="1">
        <w:r w:rsidR="007B5B09" w:rsidRPr="004720A2">
          <w:rPr>
            <w:rStyle w:val="Hyperlink"/>
            <w:noProof/>
          </w:rPr>
          <w:t>6.</w:t>
        </w:r>
        <w:r w:rsidR="007B5B09" w:rsidRPr="00D3090A">
          <w:rPr>
            <w:b w:val="0"/>
            <w:bCs w:val="0"/>
            <w:caps w:val="0"/>
            <w:noProof/>
            <w:sz w:val="22"/>
            <w:szCs w:val="22"/>
          </w:rPr>
          <w:tab/>
        </w:r>
        <w:r w:rsidR="007B5B09" w:rsidRPr="004720A2">
          <w:rPr>
            <w:rStyle w:val="Hyperlink"/>
            <w:noProof/>
          </w:rPr>
          <w:t>Økonomi</w:t>
        </w:r>
        <w:r w:rsidR="007B5B09">
          <w:rPr>
            <w:noProof/>
            <w:webHidden/>
          </w:rPr>
          <w:tab/>
        </w:r>
        <w:r w:rsidR="007B5B09">
          <w:rPr>
            <w:noProof/>
            <w:webHidden/>
          </w:rPr>
          <w:fldChar w:fldCharType="begin"/>
        </w:r>
        <w:r w:rsidR="007B5B09">
          <w:rPr>
            <w:noProof/>
            <w:webHidden/>
          </w:rPr>
          <w:instrText xml:space="preserve"> PAGEREF _Toc341024651 \h </w:instrText>
        </w:r>
        <w:r w:rsidR="007B5B09">
          <w:rPr>
            <w:noProof/>
            <w:webHidden/>
          </w:rPr>
        </w:r>
        <w:r w:rsidR="007B5B09">
          <w:rPr>
            <w:noProof/>
            <w:webHidden/>
          </w:rPr>
          <w:fldChar w:fldCharType="separate"/>
        </w:r>
        <w:r w:rsidR="0091000E">
          <w:rPr>
            <w:noProof/>
            <w:webHidden/>
          </w:rPr>
          <w:t>19</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52" w:history="1">
        <w:r w:rsidR="007B5B09" w:rsidRPr="004720A2">
          <w:rPr>
            <w:rStyle w:val="Hyperlink"/>
            <w:noProof/>
          </w:rPr>
          <w:t>7.</w:t>
        </w:r>
        <w:r w:rsidR="007B5B09" w:rsidRPr="00D3090A">
          <w:rPr>
            <w:b w:val="0"/>
            <w:bCs w:val="0"/>
            <w:caps w:val="0"/>
            <w:noProof/>
            <w:sz w:val="22"/>
            <w:szCs w:val="22"/>
          </w:rPr>
          <w:tab/>
        </w:r>
        <w:r w:rsidR="007B5B09" w:rsidRPr="004720A2">
          <w:rPr>
            <w:rStyle w:val="Hyperlink"/>
            <w:noProof/>
          </w:rPr>
          <w:t>Referencer</w:t>
        </w:r>
        <w:r w:rsidR="007B5B09">
          <w:rPr>
            <w:noProof/>
            <w:webHidden/>
          </w:rPr>
          <w:tab/>
        </w:r>
        <w:r w:rsidR="007B5B09">
          <w:rPr>
            <w:noProof/>
            <w:webHidden/>
          </w:rPr>
          <w:fldChar w:fldCharType="begin"/>
        </w:r>
        <w:r w:rsidR="007B5B09">
          <w:rPr>
            <w:noProof/>
            <w:webHidden/>
          </w:rPr>
          <w:instrText xml:space="preserve"> PAGEREF _Toc341024652 \h </w:instrText>
        </w:r>
        <w:r w:rsidR="007B5B09">
          <w:rPr>
            <w:noProof/>
            <w:webHidden/>
          </w:rPr>
        </w:r>
        <w:r w:rsidR="007B5B09">
          <w:rPr>
            <w:noProof/>
            <w:webHidden/>
          </w:rPr>
          <w:fldChar w:fldCharType="separate"/>
        </w:r>
        <w:r w:rsidR="0091000E">
          <w:rPr>
            <w:noProof/>
            <w:webHidden/>
          </w:rPr>
          <w:t>20</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53" w:history="1">
        <w:r w:rsidR="007B5B09" w:rsidRPr="004720A2">
          <w:rPr>
            <w:rStyle w:val="Hyperlink"/>
            <w:noProof/>
          </w:rPr>
          <w:t>8.</w:t>
        </w:r>
        <w:r w:rsidR="007B5B09" w:rsidRPr="00D3090A">
          <w:rPr>
            <w:b w:val="0"/>
            <w:bCs w:val="0"/>
            <w:caps w:val="0"/>
            <w:noProof/>
            <w:sz w:val="22"/>
            <w:szCs w:val="22"/>
          </w:rPr>
          <w:tab/>
        </w:r>
        <w:r w:rsidR="007B5B09" w:rsidRPr="004720A2">
          <w:rPr>
            <w:rStyle w:val="Hyperlink"/>
            <w:noProof/>
          </w:rPr>
          <w:t>BILAG 1:  Aktørernes ansvar</w:t>
        </w:r>
        <w:r w:rsidR="007B5B09">
          <w:rPr>
            <w:noProof/>
            <w:webHidden/>
          </w:rPr>
          <w:tab/>
        </w:r>
        <w:r w:rsidR="007B5B09">
          <w:rPr>
            <w:noProof/>
            <w:webHidden/>
          </w:rPr>
          <w:fldChar w:fldCharType="begin"/>
        </w:r>
        <w:r w:rsidR="007B5B09">
          <w:rPr>
            <w:noProof/>
            <w:webHidden/>
          </w:rPr>
          <w:instrText xml:space="preserve"> PAGEREF _Toc341024653 \h </w:instrText>
        </w:r>
        <w:r w:rsidR="007B5B09">
          <w:rPr>
            <w:noProof/>
            <w:webHidden/>
          </w:rPr>
        </w:r>
        <w:r w:rsidR="007B5B09">
          <w:rPr>
            <w:noProof/>
            <w:webHidden/>
          </w:rPr>
          <w:fldChar w:fldCharType="separate"/>
        </w:r>
        <w:r w:rsidR="0091000E">
          <w:rPr>
            <w:noProof/>
            <w:webHidden/>
          </w:rPr>
          <w:t>21</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54" w:history="1">
        <w:r w:rsidR="007B5B09" w:rsidRPr="004720A2">
          <w:rPr>
            <w:rStyle w:val="Hyperlink"/>
            <w:noProof/>
          </w:rPr>
          <w:t>8.1</w:t>
        </w:r>
        <w:r w:rsidR="007B5B09" w:rsidRPr="00D3090A">
          <w:rPr>
            <w:b w:val="0"/>
            <w:smallCaps w:val="0"/>
            <w:noProof/>
            <w:szCs w:val="22"/>
          </w:rPr>
          <w:tab/>
        </w:r>
        <w:r w:rsidR="007B5B09" w:rsidRPr="004720A2">
          <w:rPr>
            <w:rStyle w:val="Hyperlink"/>
            <w:noProof/>
          </w:rPr>
          <w:t>Ministeriet for By, Bolig og Landdistrikter</w:t>
        </w:r>
        <w:r w:rsidR="007B5B09">
          <w:rPr>
            <w:noProof/>
            <w:webHidden/>
          </w:rPr>
          <w:tab/>
        </w:r>
        <w:r w:rsidR="007B5B09">
          <w:rPr>
            <w:noProof/>
            <w:webHidden/>
          </w:rPr>
          <w:fldChar w:fldCharType="begin"/>
        </w:r>
        <w:r w:rsidR="007B5B09">
          <w:rPr>
            <w:noProof/>
            <w:webHidden/>
          </w:rPr>
          <w:instrText xml:space="preserve"> PAGEREF _Toc341024654 \h </w:instrText>
        </w:r>
        <w:r w:rsidR="007B5B09">
          <w:rPr>
            <w:noProof/>
            <w:webHidden/>
          </w:rPr>
        </w:r>
        <w:r w:rsidR="007B5B09">
          <w:rPr>
            <w:noProof/>
            <w:webHidden/>
          </w:rPr>
          <w:fldChar w:fldCharType="separate"/>
        </w:r>
        <w:r w:rsidR="0091000E">
          <w:rPr>
            <w:noProof/>
            <w:webHidden/>
          </w:rPr>
          <w:t>21</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55" w:history="1">
        <w:r w:rsidR="007B5B09" w:rsidRPr="004720A2">
          <w:rPr>
            <w:rStyle w:val="Hyperlink"/>
            <w:noProof/>
          </w:rPr>
          <w:t>8.2</w:t>
        </w:r>
        <w:r w:rsidR="007B5B09" w:rsidRPr="00D3090A">
          <w:rPr>
            <w:b w:val="0"/>
            <w:smallCaps w:val="0"/>
            <w:noProof/>
            <w:szCs w:val="22"/>
          </w:rPr>
          <w:tab/>
        </w:r>
        <w:r w:rsidR="007B5B09" w:rsidRPr="004720A2">
          <w:rPr>
            <w:rStyle w:val="Hyperlink"/>
            <w:noProof/>
          </w:rPr>
          <w:t>Kommunerne</w:t>
        </w:r>
        <w:r w:rsidR="007B5B09">
          <w:rPr>
            <w:noProof/>
            <w:webHidden/>
          </w:rPr>
          <w:tab/>
        </w:r>
        <w:r w:rsidR="007B5B09">
          <w:rPr>
            <w:noProof/>
            <w:webHidden/>
          </w:rPr>
          <w:fldChar w:fldCharType="begin"/>
        </w:r>
        <w:r w:rsidR="007B5B09">
          <w:rPr>
            <w:noProof/>
            <w:webHidden/>
          </w:rPr>
          <w:instrText xml:space="preserve"> PAGEREF _Toc341024655 \h </w:instrText>
        </w:r>
        <w:r w:rsidR="007B5B09">
          <w:rPr>
            <w:noProof/>
            <w:webHidden/>
          </w:rPr>
        </w:r>
        <w:r w:rsidR="007B5B09">
          <w:rPr>
            <w:noProof/>
            <w:webHidden/>
          </w:rPr>
          <w:fldChar w:fldCharType="separate"/>
        </w:r>
        <w:r w:rsidR="0091000E">
          <w:rPr>
            <w:noProof/>
            <w:webHidden/>
          </w:rPr>
          <w:t>22</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56" w:history="1">
        <w:r w:rsidR="007B5B09" w:rsidRPr="004720A2">
          <w:rPr>
            <w:rStyle w:val="Hyperlink"/>
            <w:noProof/>
          </w:rPr>
          <w:t>8.3</w:t>
        </w:r>
        <w:r w:rsidR="007B5B09" w:rsidRPr="00D3090A">
          <w:rPr>
            <w:b w:val="0"/>
            <w:smallCaps w:val="0"/>
            <w:noProof/>
            <w:szCs w:val="22"/>
          </w:rPr>
          <w:tab/>
        </w:r>
        <w:r w:rsidR="007B5B09" w:rsidRPr="004720A2">
          <w:rPr>
            <w:rStyle w:val="Hyperlink"/>
            <w:noProof/>
          </w:rPr>
          <w:t>Kort- og Matrikelstyrelsen</w:t>
        </w:r>
        <w:r w:rsidR="007B5B09">
          <w:rPr>
            <w:noProof/>
            <w:webHidden/>
          </w:rPr>
          <w:tab/>
        </w:r>
        <w:r w:rsidR="007B5B09">
          <w:rPr>
            <w:noProof/>
            <w:webHidden/>
          </w:rPr>
          <w:fldChar w:fldCharType="begin"/>
        </w:r>
        <w:r w:rsidR="007B5B09">
          <w:rPr>
            <w:noProof/>
            <w:webHidden/>
          </w:rPr>
          <w:instrText xml:space="preserve"> PAGEREF _Toc341024656 \h </w:instrText>
        </w:r>
        <w:r w:rsidR="007B5B09">
          <w:rPr>
            <w:noProof/>
            <w:webHidden/>
          </w:rPr>
        </w:r>
        <w:r w:rsidR="007B5B09">
          <w:rPr>
            <w:noProof/>
            <w:webHidden/>
          </w:rPr>
          <w:fldChar w:fldCharType="separate"/>
        </w:r>
        <w:r w:rsidR="0091000E">
          <w:rPr>
            <w:noProof/>
            <w:webHidden/>
          </w:rPr>
          <w:t>23</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57" w:history="1">
        <w:r w:rsidR="007B5B09" w:rsidRPr="004720A2">
          <w:rPr>
            <w:rStyle w:val="Hyperlink"/>
            <w:noProof/>
          </w:rPr>
          <w:t>8.4</w:t>
        </w:r>
        <w:r w:rsidR="007B5B09" w:rsidRPr="00D3090A">
          <w:rPr>
            <w:b w:val="0"/>
            <w:smallCaps w:val="0"/>
            <w:noProof/>
            <w:szCs w:val="22"/>
          </w:rPr>
          <w:tab/>
        </w:r>
        <w:r w:rsidR="007B5B09" w:rsidRPr="004720A2">
          <w:rPr>
            <w:rStyle w:val="Hyperlink"/>
            <w:noProof/>
          </w:rPr>
          <w:t>Skat</w:t>
        </w:r>
        <w:r w:rsidR="007B5B09">
          <w:rPr>
            <w:noProof/>
            <w:webHidden/>
          </w:rPr>
          <w:tab/>
        </w:r>
        <w:r w:rsidR="007B5B09">
          <w:rPr>
            <w:noProof/>
            <w:webHidden/>
          </w:rPr>
          <w:fldChar w:fldCharType="begin"/>
        </w:r>
        <w:r w:rsidR="007B5B09">
          <w:rPr>
            <w:noProof/>
            <w:webHidden/>
          </w:rPr>
          <w:instrText xml:space="preserve"> PAGEREF _Toc341024657 \h </w:instrText>
        </w:r>
        <w:r w:rsidR="007B5B09">
          <w:rPr>
            <w:noProof/>
            <w:webHidden/>
          </w:rPr>
        </w:r>
        <w:r w:rsidR="007B5B09">
          <w:rPr>
            <w:noProof/>
            <w:webHidden/>
          </w:rPr>
          <w:fldChar w:fldCharType="separate"/>
        </w:r>
        <w:r w:rsidR="0091000E">
          <w:rPr>
            <w:noProof/>
            <w:webHidden/>
          </w:rPr>
          <w:t>24</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58" w:history="1">
        <w:r w:rsidR="007B5B09" w:rsidRPr="004720A2">
          <w:rPr>
            <w:rStyle w:val="Hyperlink"/>
            <w:noProof/>
          </w:rPr>
          <w:t>8.5</w:t>
        </w:r>
        <w:r w:rsidR="007B5B09" w:rsidRPr="00D3090A">
          <w:rPr>
            <w:b w:val="0"/>
            <w:smallCaps w:val="0"/>
            <w:noProof/>
            <w:szCs w:val="22"/>
          </w:rPr>
          <w:tab/>
        </w:r>
        <w:r w:rsidR="007B5B09" w:rsidRPr="004720A2">
          <w:rPr>
            <w:rStyle w:val="Hyperlink"/>
            <w:noProof/>
          </w:rPr>
          <w:t>Domstolsstyrelsen</w:t>
        </w:r>
        <w:r w:rsidR="007B5B09">
          <w:rPr>
            <w:noProof/>
            <w:webHidden/>
          </w:rPr>
          <w:tab/>
        </w:r>
        <w:r w:rsidR="007B5B09">
          <w:rPr>
            <w:noProof/>
            <w:webHidden/>
          </w:rPr>
          <w:fldChar w:fldCharType="begin"/>
        </w:r>
        <w:r w:rsidR="007B5B09">
          <w:rPr>
            <w:noProof/>
            <w:webHidden/>
          </w:rPr>
          <w:instrText xml:space="preserve"> PAGEREF _Toc341024658 \h </w:instrText>
        </w:r>
        <w:r w:rsidR="007B5B09">
          <w:rPr>
            <w:noProof/>
            <w:webHidden/>
          </w:rPr>
        </w:r>
        <w:r w:rsidR="007B5B09">
          <w:rPr>
            <w:noProof/>
            <w:webHidden/>
          </w:rPr>
          <w:fldChar w:fldCharType="separate"/>
        </w:r>
        <w:r w:rsidR="0091000E">
          <w:rPr>
            <w:noProof/>
            <w:webHidden/>
          </w:rPr>
          <w:t>25</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59" w:history="1">
        <w:r w:rsidR="007B5B09" w:rsidRPr="004720A2">
          <w:rPr>
            <w:rStyle w:val="Hyperlink"/>
            <w:noProof/>
          </w:rPr>
          <w:t>9.</w:t>
        </w:r>
        <w:r w:rsidR="007B5B09" w:rsidRPr="00D3090A">
          <w:rPr>
            <w:b w:val="0"/>
            <w:bCs w:val="0"/>
            <w:caps w:val="0"/>
            <w:noProof/>
            <w:sz w:val="22"/>
            <w:szCs w:val="22"/>
          </w:rPr>
          <w:tab/>
        </w:r>
        <w:r w:rsidR="007B5B09" w:rsidRPr="004720A2">
          <w:rPr>
            <w:rStyle w:val="Hyperlink"/>
            <w:noProof/>
          </w:rPr>
          <w:t>Bilag 2: Implementering</w:t>
        </w:r>
        <w:r w:rsidR="007B5B09">
          <w:rPr>
            <w:noProof/>
            <w:webHidden/>
          </w:rPr>
          <w:tab/>
        </w:r>
        <w:r w:rsidR="007B5B09">
          <w:rPr>
            <w:noProof/>
            <w:webHidden/>
          </w:rPr>
          <w:fldChar w:fldCharType="begin"/>
        </w:r>
        <w:r w:rsidR="007B5B09">
          <w:rPr>
            <w:noProof/>
            <w:webHidden/>
          </w:rPr>
          <w:instrText xml:space="preserve"> PAGEREF _Toc341024659 \h </w:instrText>
        </w:r>
        <w:r w:rsidR="007B5B09">
          <w:rPr>
            <w:noProof/>
            <w:webHidden/>
          </w:rPr>
        </w:r>
        <w:r w:rsidR="007B5B09">
          <w:rPr>
            <w:noProof/>
            <w:webHidden/>
          </w:rPr>
          <w:fldChar w:fldCharType="separate"/>
        </w:r>
        <w:r w:rsidR="0091000E">
          <w:rPr>
            <w:noProof/>
            <w:webHidden/>
          </w:rPr>
          <w:t>27</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60" w:history="1">
        <w:r w:rsidR="007B5B09" w:rsidRPr="004720A2">
          <w:rPr>
            <w:rStyle w:val="Hyperlink"/>
            <w:noProof/>
          </w:rPr>
          <w:t>9.1</w:t>
        </w:r>
        <w:r w:rsidR="007B5B09" w:rsidRPr="00D3090A">
          <w:rPr>
            <w:b w:val="0"/>
            <w:smallCaps w:val="0"/>
            <w:noProof/>
            <w:szCs w:val="22"/>
          </w:rPr>
          <w:tab/>
        </w:r>
        <w:r w:rsidR="007B5B09" w:rsidRPr="004720A2">
          <w:rPr>
            <w:rStyle w:val="Hyperlink"/>
            <w:noProof/>
          </w:rPr>
          <w:t>Ministeriet for By, Bolig og Landdistrikter</w:t>
        </w:r>
        <w:r w:rsidR="007B5B09">
          <w:rPr>
            <w:noProof/>
            <w:webHidden/>
          </w:rPr>
          <w:tab/>
        </w:r>
        <w:r w:rsidR="007B5B09">
          <w:rPr>
            <w:noProof/>
            <w:webHidden/>
          </w:rPr>
          <w:fldChar w:fldCharType="begin"/>
        </w:r>
        <w:r w:rsidR="007B5B09">
          <w:rPr>
            <w:noProof/>
            <w:webHidden/>
          </w:rPr>
          <w:instrText xml:space="preserve"> PAGEREF _Toc341024660 \h </w:instrText>
        </w:r>
        <w:r w:rsidR="007B5B09">
          <w:rPr>
            <w:noProof/>
            <w:webHidden/>
          </w:rPr>
        </w:r>
        <w:r w:rsidR="007B5B09">
          <w:rPr>
            <w:noProof/>
            <w:webHidden/>
          </w:rPr>
          <w:fldChar w:fldCharType="separate"/>
        </w:r>
        <w:r w:rsidR="0091000E">
          <w:rPr>
            <w:noProof/>
            <w:webHidden/>
          </w:rPr>
          <w:t>27</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61" w:history="1">
        <w:r w:rsidR="007B5B09" w:rsidRPr="004720A2">
          <w:rPr>
            <w:rStyle w:val="Hyperlink"/>
            <w:noProof/>
          </w:rPr>
          <w:t>9.2</w:t>
        </w:r>
        <w:r w:rsidR="007B5B09" w:rsidRPr="00D3090A">
          <w:rPr>
            <w:b w:val="0"/>
            <w:smallCaps w:val="0"/>
            <w:noProof/>
            <w:szCs w:val="22"/>
          </w:rPr>
          <w:tab/>
        </w:r>
        <w:r w:rsidR="007B5B09" w:rsidRPr="004720A2">
          <w:rPr>
            <w:rStyle w:val="Hyperlink"/>
            <w:noProof/>
          </w:rPr>
          <w:t>Kommunerne</w:t>
        </w:r>
        <w:r w:rsidR="007B5B09">
          <w:rPr>
            <w:noProof/>
            <w:webHidden/>
          </w:rPr>
          <w:tab/>
        </w:r>
        <w:r w:rsidR="007B5B09">
          <w:rPr>
            <w:noProof/>
            <w:webHidden/>
          </w:rPr>
          <w:fldChar w:fldCharType="begin"/>
        </w:r>
        <w:r w:rsidR="007B5B09">
          <w:rPr>
            <w:noProof/>
            <w:webHidden/>
          </w:rPr>
          <w:instrText xml:space="preserve"> PAGEREF _Toc341024661 \h </w:instrText>
        </w:r>
        <w:r w:rsidR="007B5B09">
          <w:rPr>
            <w:noProof/>
            <w:webHidden/>
          </w:rPr>
        </w:r>
        <w:r w:rsidR="007B5B09">
          <w:rPr>
            <w:noProof/>
            <w:webHidden/>
          </w:rPr>
          <w:fldChar w:fldCharType="separate"/>
        </w:r>
        <w:r w:rsidR="0091000E">
          <w:rPr>
            <w:noProof/>
            <w:webHidden/>
          </w:rPr>
          <w:t>27</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62" w:history="1">
        <w:r w:rsidR="007B5B09" w:rsidRPr="004720A2">
          <w:rPr>
            <w:rStyle w:val="Hyperlink"/>
            <w:noProof/>
          </w:rPr>
          <w:t>9.3</w:t>
        </w:r>
        <w:r w:rsidR="007B5B09" w:rsidRPr="00D3090A">
          <w:rPr>
            <w:b w:val="0"/>
            <w:smallCaps w:val="0"/>
            <w:noProof/>
            <w:szCs w:val="22"/>
          </w:rPr>
          <w:tab/>
        </w:r>
        <w:r w:rsidR="007B5B09" w:rsidRPr="004720A2">
          <w:rPr>
            <w:rStyle w:val="Hyperlink"/>
            <w:noProof/>
          </w:rPr>
          <w:t>Kort- og Matrikelstyrelsen</w:t>
        </w:r>
        <w:r w:rsidR="007B5B09">
          <w:rPr>
            <w:noProof/>
            <w:webHidden/>
          </w:rPr>
          <w:tab/>
        </w:r>
        <w:r w:rsidR="007B5B09">
          <w:rPr>
            <w:noProof/>
            <w:webHidden/>
          </w:rPr>
          <w:fldChar w:fldCharType="begin"/>
        </w:r>
        <w:r w:rsidR="007B5B09">
          <w:rPr>
            <w:noProof/>
            <w:webHidden/>
          </w:rPr>
          <w:instrText xml:space="preserve"> PAGEREF _Toc341024662 \h </w:instrText>
        </w:r>
        <w:r w:rsidR="007B5B09">
          <w:rPr>
            <w:noProof/>
            <w:webHidden/>
          </w:rPr>
        </w:r>
        <w:r w:rsidR="007B5B09">
          <w:rPr>
            <w:noProof/>
            <w:webHidden/>
          </w:rPr>
          <w:fldChar w:fldCharType="separate"/>
        </w:r>
        <w:r w:rsidR="0091000E">
          <w:rPr>
            <w:noProof/>
            <w:webHidden/>
          </w:rPr>
          <w:t>28</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63" w:history="1">
        <w:r w:rsidR="007B5B09" w:rsidRPr="004720A2">
          <w:rPr>
            <w:rStyle w:val="Hyperlink"/>
            <w:noProof/>
          </w:rPr>
          <w:t>9.4</w:t>
        </w:r>
        <w:r w:rsidR="007B5B09" w:rsidRPr="00D3090A">
          <w:rPr>
            <w:b w:val="0"/>
            <w:smallCaps w:val="0"/>
            <w:noProof/>
            <w:szCs w:val="22"/>
          </w:rPr>
          <w:tab/>
        </w:r>
        <w:r w:rsidR="007B5B09" w:rsidRPr="004720A2">
          <w:rPr>
            <w:rStyle w:val="Hyperlink"/>
            <w:noProof/>
          </w:rPr>
          <w:t>SKAT</w:t>
        </w:r>
        <w:r w:rsidR="007B5B09">
          <w:rPr>
            <w:noProof/>
            <w:webHidden/>
          </w:rPr>
          <w:tab/>
        </w:r>
        <w:r w:rsidR="007B5B09">
          <w:rPr>
            <w:noProof/>
            <w:webHidden/>
          </w:rPr>
          <w:fldChar w:fldCharType="begin"/>
        </w:r>
        <w:r w:rsidR="007B5B09">
          <w:rPr>
            <w:noProof/>
            <w:webHidden/>
          </w:rPr>
          <w:instrText xml:space="preserve"> PAGEREF _Toc341024663 \h </w:instrText>
        </w:r>
        <w:r w:rsidR="007B5B09">
          <w:rPr>
            <w:noProof/>
            <w:webHidden/>
          </w:rPr>
        </w:r>
        <w:r w:rsidR="007B5B09">
          <w:rPr>
            <w:noProof/>
            <w:webHidden/>
          </w:rPr>
          <w:fldChar w:fldCharType="separate"/>
        </w:r>
        <w:r w:rsidR="0091000E">
          <w:rPr>
            <w:noProof/>
            <w:webHidden/>
          </w:rPr>
          <w:t>28</w:t>
        </w:r>
        <w:r w:rsidR="007B5B09">
          <w:rPr>
            <w:noProof/>
            <w:webHidden/>
          </w:rPr>
          <w:fldChar w:fldCharType="end"/>
        </w:r>
      </w:hyperlink>
    </w:p>
    <w:p w:rsidR="007B5B09" w:rsidRPr="00D3090A" w:rsidRDefault="004B01EA">
      <w:pPr>
        <w:pStyle w:val="Indholdsfortegnelse2"/>
        <w:tabs>
          <w:tab w:val="right" w:leader="dot" w:pos="8495"/>
        </w:tabs>
        <w:rPr>
          <w:b w:val="0"/>
          <w:smallCaps w:val="0"/>
          <w:noProof/>
          <w:szCs w:val="22"/>
        </w:rPr>
      </w:pPr>
      <w:hyperlink w:anchor="_Toc341024664" w:history="1">
        <w:r w:rsidR="007B5B09" w:rsidRPr="004720A2">
          <w:rPr>
            <w:rStyle w:val="Hyperlink"/>
            <w:noProof/>
          </w:rPr>
          <w:t>9.5</w:t>
        </w:r>
        <w:r w:rsidR="007B5B09" w:rsidRPr="00D3090A">
          <w:rPr>
            <w:b w:val="0"/>
            <w:smallCaps w:val="0"/>
            <w:noProof/>
            <w:szCs w:val="22"/>
          </w:rPr>
          <w:tab/>
        </w:r>
        <w:r w:rsidR="007B5B09" w:rsidRPr="004720A2">
          <w:rPr>
            <w:rStyle w:val="Hyperlink"/>
            <w:noProof/>
          </w:rPr>
          <w:t>Domstolsstyrelsen</w:t>
        </w:r>
        <w:r w:rsidR="007B5B09">
          <w:rPr>
            <w:noProof/>
            <w:webHidden/>
          </w:rPr>
          <w:tab/>
        </w:r>
        <w:r w:rsidR="007B5B09">
          <w:rPr>
            <w:noProof/>
            <w:webHidden/>
          </w:rPr>
          <w:fldChar w:fldCharType="begin"/>
        </w:r>
        <w:r w:rsidR="007B5B09">
          <w:rPr>
            <w:noProof/>
            <w:webHidden/>
          </w:rPr>
          <w:instrText xml:space="preserve"> PAGEREF _Toc341024664 \h </w:instrText>
        </w:r>
        <w:r w:rsidR="007B5B09">
          <w:rPr>
            <w:noProof/>
            <w:webHidden/>
          </w:rPr>
        </w:r>
        <w:r w:rsidR="007B5B09">
          <w:rPr>
            <w:noProof/>
            <w:webHidden/>
          </w:rPr>
          <w:fldChar w:fldCharType="separate"/>
        </w:r>
        <w:r w:rsidR="0091000E">
          <w:rPr>
            <w:noProof/>
            <w:webHidden/>
          </w:rPr>
          <w:t>29</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65" w:history="1">
        <w:r w:rsidR="007B5B09" w:rsidRPr="004720A2">
          <w:rPr>
            <w:rStyle w:val="Hyperlink"/>
            <w:noProof/>
          </w:rPr>
          <w:t>10.</w:t>
        </w:r>
        <w:r w:rsidR="007B5B09" w:rsidRPr="00D3090A">
          <w:rPr>
            <w:b w:val="0"/>
            <w:bCs w:val="0"/>
            <w:caps w:val="0"/>
            <w:noProof/>
            <w:sz w:val="22"/>
            <w:szCs w:val="22"/>
          </w:rPr>
          <w:tab/>
        </w:r>
        <w:r w:rsidR="007B5B09" w:rsidRPr="004720A2">
          <w:rPr>
            <w:rStyle w:val="Hyperlink"/>
            <w:noProof/>
          </w:rPr>
          <w:t>Bilag 3: Organisering</w:t>
        </w:r>
        <w:r w:rsidR="007B5B09">
          <w:rPr>
            <w:noProof/>
            <w:webHidden/>
          </w:rPr>
          <w:tab/>
        </w:r>
        <w:r w:rsidR="007B5B09">
          <w:rPr>
            <w:noProof/>
            <w:webHidden/>
          </w:rPr>
          <w:fldChar w:fldCharType="begin"/>
        </w:r>
        <w:r w:rsidR="007B5B09">
          <w:rPr>
            <w:noProof/>
            <w:webHidden/>
          </w:rPr>
          <w:instrText xml:space="preserve"> PAGEREF _Toc341024665 \h </w:instrText>
        </w:r>
        <w:r w:rsidR="007B5B09">
          <w:rPr>
            <w:noProof/>
            <w:webHidden/>
          </w:rPr>
        </w:r>
        <w:r w:rsidR="007B5B09">
          <w:rPr>
            <w:noProof/>
            <w:webHidden/>
          </w:rPr>
          <w:fldChar w:fldCharType="separate"/>
        </w:r>
        <w:r w:rsidR="0091000E">
          <w:rPr>
            <w:noProof/>
            <w:webHidden/>
          </w:rPr>
          <w:t>30</w:t>
        </w:r>
        <w:r w:rsidR="007B5B09">
          <w:rPr>
            <w:noProof/>
            <w:webHidden/>
          </w:rPr>
          <w:fldChar w:fldCharType="end"/>
        </w:r>
      </w:hyperlink>
    </w:p>
    <w:p w:rsidR="007B5B09" w:rsidRPr="00D3090A" w:rsidRDefault="004B01EA">
      <w:pPr>
        <w:pStyle w:val="Indholdsfortegnelse2"/>
        <w:tabs>
          <w:tab w:val="left" w:pos="970"/>
          <w:tab w:val="right" w:leader="dot" w:pos="8495"/>
        </w:tabs>
        <w:rPr>
          <w:b w:val="0"/>
          <w:smallCaps w:val="0"/>
          <w:noProof/>
          <w:szCs w:val="22"/>
        </w:rPr>
      </w:pPr>
      <w:hyperlink w:anchor="_Toc341024666" w:history="1">
        <w:r w:rsidR="007B5B09" w:rsidRPr="004720A2">
          <w:rPr>
            <w:rStyle w:val="Hyperlink"/>
            <w:noProof/>
          </w:rPr>
          <w:t>10.1</w:t>
        </w:r>
        <w:r w:rsidR="007B5B09" w:rsidRPr="00D3090A">
          <w:rPr>
            <w:b w:val="0"/>
            <w:smallCaps w:val="0"/>
            <w:noProof/>
            <w:szCs w:val="22"/>
          </w:rPr>
          <w:tab/>
        </w:r>
        <w:r w:rsidR="007B5B09" w:rsidRPr="004720A2">
          <w:rPr>
            <w:rStyle w:val="Hyperlink"/>
            <w:noProof/>
          </w:rPr>
          <w:t>Programledelse</w:t>
        </w:r>
        <w:r w:rsidR="007B5B09">
          <w:rPr>
            <w:noProof/>
            <w:webHidden/>
          </w:rPr>
          <w:tab/>
        </w:r>
        <w:r w:rsidR="007B5B09">
          <w:rPr>
            <w:noProof/>
            <w:webHidden/>
          </w:rPr>
          <w:fldChar w:fldCharType="begin"/>
        </w:r>
        <w:r w:rsidR="007B5B09">
          <w:rPr>
            <w:noProof/>
            <w:webHidden/>
          </w:rPr>
          <w:instrText xml:space="preserve"> PAGEREF _Toc341024666 \h </w:instrText>
        </w:r>
        <w:r w:rsidR="007B5B09">
          <w:rPr>
            <w:noProof/>
            <w:webHidden/>
          </w:rPr>
        </w:r>
        <w:r w:rsidR="007B5B09">
          <w:rPr>
            <w:noProof/>
            <w:webHidden/>
          </w:rPr>
          <w:fldChar w:fldCharType="separate"/>
        </w:r>
        <w:r w:rsidR="0091000E">
          <w:rPr>
            <w:noProof/>
            <w:webHidden/>
          </w:rPr>
          <w:t>30</w:t>
        </w:r>
        <w:r w:rsidR="007B5B09">
          <w:rPr>
            <w:noProof/>
            <w:webHidden/>
          </w:rPr>
          <w:fldChar w:fldCharType="end"/>
        </w:r>
      </w:hyperlink>
    </w:p>
    <w:p w:rsidR="007B5B09" w:rsidRPr="00D3090A" w:rsidRDefault="004B01EA">
      <w:pPr>
        <w:pStyle w:val="Indholdsfortegnelse2"/>
        <w:tabs>
          <w:tab w:val="left" w:pos="970"/>
          <w:tab w:val="right" w:leader="dot" w:pos="8495"/>
        </w:tabs>
        <w:rPr>
          <w:b w:val="0"/>
          <w:smallCaps w:val="0"/>
          <w:noProof/>
          <w:szCs w:val="22"/>
        </w:rPr>
      </w:pPr>
      <w:hyperlink w:anchor="_Toc341024667" w:history="1">
        <w:r w:rsidR="007B5B09" w:rsidRPr="004720A2">
          <w:rPr>
            <w:rStyle w:val="Hyperlink"/>
            <w:noProof/>
          </w:rPr>
          <w:t>10.2</w:t>
        </w:r>
        <w:r w:rsidR="007B5B09" w:rsidRPr="00D3090A">
          <w:rPr>
            <w:b w:val="0"/>
            <w:smallCaps w:val="0"/>
            <w:noProof/>
            <w:szCs w:val="22"/>
          </w:rPr>
          <w:tab/>
        </w:r>
        <w:r w:rsidR="007B5B09" w:rsidRPr="004720A2">
          <w:rPr>
            <w:rStyle w:val="Hyperlink"/>
            <w:noProof/>
          </w:rPr>
          <w:t>Programstyring</w:t>
        </w:r>
        <w:r w:rsidR="007B5B09">
          <w:rPr>
            <w:noProof/>
            <w:webHidden/>
          </w:rPr>
          <w:tab/>
        </w:r>
        <w:r w:rsidR="007B5B09">
          <w:rPr>
            <w:noProof/>
            <w:webHidden/>
          </w:rPr>
          <w:fldChar w:fldCharType="begin"/>
        </w:r>
        <w:r w:rsidR="007B5B09">
          <w:rPr>
            <w:noProof/>
            <w:webHidden/>
          </w:rPr>
          <w:instrText xml:space="preserve"> PAGEREF _Toc341024667 \h </w:instrText>
        </w:r>
        <w:r w:rsidR="007B5B09">
          <w:rPr>
            <w:noProof/>
            <w:webHidden/>
          </w:rPr>
        </w:r>
        <w:r w:rsidR="007B5B09">
          <w:rPr>
            <w:noProof/>
            <w:webHidden/>
          </w:rPr>
          <w:fldChar w:fldCharType="separate"/>
        </w:r>
        <w:r w:rsidR="0091000E">
          <w:rPr>
            <w:noProof/>
            <w:webHidden/>
          </w:rPr>
          <w:t>31</w:t>
        </w:r>
        <w:r w:rsidR="007B5B09">
          <w:rPr>
            <w:noProof/>
            <w:webHidden/>
          </w:rPr>
          <w:fldChar w:fldCharType="end"/>
        </w:r>
      </w:hyperlink>
    </w:p>
    <w:p w:rsidR="007B5B09" w:rsidRPr="00D3090A" w:rsidRDefault="004B01EA">
      <w:pPr>
        <w:pStyle w:val="Indholdsfortegnelse3"/>
        <w:tabs>
          <w:tab w:val="left" w:pos="1200"/>
          <w:tab w:val="right" w:leader="dot" w:pos="8495"/>
        </w:tabs>
        <w:rPr>
          <w:iCs w:val="0"/>
          <w:noProof/>
          <w:szCs w:val="22"/>
        </w:rPr>
      </w:pPr>
      <w:hyperlink w:anchor="_Toc341024668" w:history="1">
        <w:r w:rsidR="007B5B09" w:rsidRPr="004720A2">
          <w:rPr>
            <w:rStyle w:val="Hyperlink"/>
            <w:noProof/>
          </w:rPr>
          <w:t>10.2.1</w:t>
        </w:r>
        <w:r w:rsidR="007B5B09" w:rsidRPr="00D3090A">
          <w:rPr>
            <w:iCs w:val="0"/>
            <w:noProof/>
            <w:szCs w:val="22"/>
          </w:rPr>
          <w:tab/>
        </w:r>
        <w:r w:rsidR="007B5B09" w:rsidRPr="004720A2">
          <w:rPr>
            <w:rStyle w:val="Hyperlink"/>
            <w:noProof/>
          </w:rPr>
          <w:t>Programsekretariat</w:t>
        </w:r>
        <w:r w:rsidR="007B5B09">
          <w:rPr>
            <w:noProof/>
            <w:webHidden/>
          </w:rPr>
          <w:tab/>
        </w:r>
        <w:r w:rsidR="007B5B09">
          <w:rPr>
            <w:noProof/>
            <w:webHidden/>
          </w:rPr>
          <w:fldChar w:fldCharType="begin"/>
        </w:r>
        <w:r w:rsidR="007B5B09">
          <w:rPr>
            <w:noProof/>
            <w:webHidden/>
          </w:rPr>
          <w:instrText xml:space="preserve"> PAGEREF _Toc341024668 \h </w:instrText>
        </w:r>
        <w:r w:rsidR="007B5B09">
          <w:rPr>
            <w:noProof/>
            <w:webHidden/>
          </w:rPr>
        </w:r>
        <w:r w:rsidR="007B5B09">
          <w:rPr>
            <w:noProof/>
            <w:webHidden/>
          </w:rPr>
          <w:fldChar w:fldCharType="separate"/>
        </w:r>
        <w:r w:rsidR="0091000E">
          <w:rPr>
            <w:noProof/>
            <w:webHidden/>
          </w:rPr>
          <w:t>31</w:t>
        </w:r>
        <w:r w:rsidR="007B5B09">
          <w:rPr>
            <w:noProof/>
            <w:webHidden/>
          </w:rPr>
          <w:fldChar w:fldCharType="end"/>
        </w:r>
      </w:hyperlink>
    </w:p>
    <w:p w:rsidR="007B5B09" w:rsidRPr="00D3090A" w:rsidRDefault="004B01EA">
      <w:pPr>
        <w:pStyle w:val="Indholdsfortegnelse3"/>
        <w:tabs>
          <w:tab w:val="left" w:pos="1200"/>
          <w:tab w:val="right" w:leader="dot" w:pos="8495"/>
        </w:tabs>
        <w:rPr>
          <w:iCs w:val="0"/>
          <w:noProof/>
          <w:szCs w:val="22"/>
        </w:rPr>
      </w:pPr>
      <w:hyperlink w:anchor="_Toc341024669" w:history="1">
        <w:r w:rsidR="007B5B09" w:rsidRPr="004720A2">
          <w:rPr>
            <w:rStyle w:val="Hyperlink"/>
            <w:noProof/>
          </w:rPr>
          <w:t>10.2.2</w:t>
        </w:r>
        <w:r w:rsidR="007B5B09" w:rsidRPr="00D3090A">
          <w:rPr>
            <w:iCs w:val="0"/>
            <w:noProof/>
            <w:szCs w:val="22"/>
          </w:rPr>
          <w:tab/>
        </w:r>
        <w:r w:rsidR="007B5B09" w:rsidRPr="004720A2">
          <w:rPr>
            <w:rStyle w:val="Hyperlink"/>
            <w:noProof/>
          </w:rPr>
          <w:t>Projektforum</w:t>
        </w:r>
        <w:r w:rsidR="007B5B09">
          <w:rPr>
            <w:noProof/>
            <w:webHidden/>
          </w:rPr>
          <w:tab/>
        </w:r>
        <w:r w:rsidR="007B5B09">
          <w:rPr>
            <w:noProof/>
            <w:webHidden/>
          </w:rPr>
          <w:fldChar w:fldCharType="begin"/>
        </w:r>
        <w:r w:rsidR="007B5B09">
          <w:rPr>
            <w:noProof/>
            <w:webHidden/>
          </w:rPr>
          <w:instrText xml:space="preserve"> PAGEREF _Toc341024669 \h </w:instrText>
        </w:r>
        <w:r w:rsidR="007B5B09">
          <w:rPr>
            <w:noProof/>
            <w:webHidden/>
          </w:rPr>
        </w:r>
        <w:r w:rsidR="007B5B09">
          <w:rPr>
            <w:noProof/>
            <w:webHidden/>
          </w:rPr>
          <w:fldChar w:fldCharType="separate"/>
        </w:r>
        <w:r w:rsidR="0091000E">
          <w:rPr>
            <w:noProof/>
            <w:webHidden/>
          </w:rPr>
          <w:t>32</w:t>
        </w:r>
        <w:r w:rsidR="007B5B09">
          <w:rPr>
            <w:noProof/>
            <w:webHidden/>
          </w:rPr>
          <w:fldChar w:fldCharType="end"/>
        </w:r>
      </w:hyperlink>
    </w:p>
    <w:p w:rsidR="007B5B09" w:rsidRPr="00D3090A" w:rsidRDefault="004B01EA">
      <w:pPr>
        <w:pStyle w:val="Indholdsfortegnelse2"/>
        <w:tabs>
          <w:tab w:val="left" w:pos="970"/>
          <w:tab w:val="right" w:leader="dot" w:pos="8495"/>
        </w:tabs>
        <w:rPr>
          <w:b w:val="0"/>
          <w:smallCaps w:val="0"/>
          <w:noProof/>
          <w:szCs w:val="22"/>
        </w:rPr>
      </w:pPr>
      <w:hyperlink w:anchor="_Toc341024670" w:history="1">
        <w:r w:rsidR="007B5B09" w:rsidRPr="004720A2">
          <w:rPr>
            <w:rStyle w:val="Hyperlink"/>
            <w:noProof/>
          </w:rPr>
          <w:t>10.3</w:t>
        </w:r>
        <w:r w:rsidR="007B5B09" w:rsidRPr="00D3090A">
          <w:rPr>
            <w:b w:val="0"/>
            <w:smallCaps w:val="0"/>
            <w:noProof/>
            <w:szCs w:val="22"/>
          </w:rPr>
          <w:tab/>
        </w:r>
        <w:r w:rsidR="007B5B09" w:rsidRPr="004720A2">
          <w:rPr>
            <w:rStyle w:val="Hyperlink"/>
            <w:noProof/>
          </w:rPr>
          <w:t>Projekter</w:t>
        </w:r>
        <w:r w:rsidR="007B5B09">
          <w:rPr>
            <w:noProof/>
            <w:webHidden/>
          </w:rPr>
          <w:tab/>
        </w:r>
        <w:r w:rsidR="007B5B09">
          <w:rPr>
            <w:noProof/>
            <w:webHidden/>
          </w:rPr>
          <w:fldChar w:fldCharType="begin"/>
        </w:r>
        <w:r w:rsidR="007B5B09">
          <w:rPr>
            <w:noProof/>
            <w:webHidden/>
          </w:rPr>
          <w:instrText xml:space="preserve"> PAGEREF _Toc341024670 \h </w:instrText>
        </w:r>
        <w:r w:rsidR="007B5B09">
          <w:rPr>
            <w:noProof/>
            <w:webHidden/>
          </w:rPr>
        </w:r>
        <w:r w:rsidR="007B5B09">
          <w:rPr>
            <w:noProof/>
            <w:webHidden/>
          </w:rPr>
          <w:fldChar w:fldCharType="separate"/>
        </w:r>
        <w:r w:rsidR="0091000E">
          <w:rPr>
            <w:noProof/>
            <w:webHidden/>
          </w:rPr>
          <w:t>33</w:t>
        </w:r>
        <w:r w:rsidR="007B5B09">
          <w:rPr>
            <w:noProof/>
            <w:webHidden/>
          </w:rPr>
          <w:fldChar w:fldCharType="end"/>
        </w:r>
      </w:hyperlink>
    </w:p>
    <w:p w:rsidR="007B5B09" w:rsidRPr="00D3090A" w:rsidRDefault="004B01EA">
      <w:pPr>
        <w:pStyle w:val="Indholdsfortegnelse1"/>
        <w:tabs>
          <w:tab w:val="right" w:leader="dot" w:pos="8495"/>
        </w:tabs>
        <w:rPr>
          <w:b w:val="0"/>
          <w:bCs w:val="0"/>
          <w:caps w:val="0"/>
          <w:noProof/>
          <w:sz w:val="22"/>
          <w:szCs w:val="22"/>
        </w:rPr>
      </w:pPr>
      <w:hyperlink w:anchor="_Toc341024671" w:history="1">
        <w:r w:rsidR="007B5B09" w:rsidRPr="004720A2">
          <w:rPr>
            <w:rStyle w:val="Hyperlink"/>
            <w:noProof/>
          </w:rPr>
          <w:t>11.</w:t>
        </w:r>
        <w:r w:rsidR="007B5B09" w:rsidRPr="00D3090A">
          <w:rPr>
            <w:b w:val="0"/>
            <w:bCs w:val="0"/>
            <w:caps w:val="0"/>
            <w:noProof/>
            <w:sz w:val="22"/>
            <w:szCs w:val="22"/>
          </w:rPr>
          <w:tab/>
        </w:r>
        <w:r w:rsidR="007B5B09" w:rsidRPr="004720A2">
          <w:rPr>
            <w:rStyle w:val="Hyperlink"/>
            <w:noProof/>
          </w:rPr>
          <w:t>Bilag 4: Økonomi</w:t>
        </w:r>
        <w:r w:rsidR="007B5B09">
          <w:rPr>
            <w:noProof/>
            <w:webHidden/>
          </w:rPr>
          <w:tab/>
        </w:r>
        <w:r w:rsidR="007B5B09">
          <w:rPr>
            <w:noProof/>
            <w:webHidden/>
          </w:rPr>
          <w:fldChar w:fldCharType="begin"/>
        </w:r>
        <w:r w:rsidR="007B5B09">
          <w:rPr>
            <w:noProof/>
            <w:webHidden/>
          </w:rPr>
          <w:instrText xml:space="preserve"> PAGEREF _Toc341024671 \h </w:instrText>
        </w:r>
        <w:r w:rsidR="007B5B09">
          <w:rPr>
            <w:noProof/>
            <w:webHidden/>
          </w:rPr>
        </w:r>
        <w:r w:rsidR="007B5B09">
          <w:rPr>
            <w:noProof/>
            <w:webHidden/>
          </w:rPr>
          <w:fldChar w:fldCharType="separate"/>
        </w:r>
        <w:r w:rsidR="0091000E">
          <w:rPr>
            <w:noProof/>
            <w:webHidden/>
          </w:rPr>
          <w:t>34</w:t>
        </w:r>
        <w:r w:rsidR="007B5B09">
          <w:rPr>
            <w:noProof/>
            <w:webHidden/>
          </w:rPr>
          <w:fldChar w:fldCharType="end"/>
        </w:r>
      </w:hyperlink>
    </w:p>
    <w:p w:rsidR="007B5B09" w:rsidRPr="00D3090A" w:rsidRDefault="004B01EA">
      <w:pPr>
        <w:pStyle w:val="Indholdsfortegnelse2"/>
        <w:tabs>
          <w:tab w:val="left" w:pos="970"/>
          <w:tab w:val="right" w:leader="dot" w:pos="8495"/>
        </w:tabs>
        <w:rPr>
          <w:b w:val="0"/>
          <w:smallCaps w:val="0"/>
          <w:noProof/>
          <w:szCs w:val="22"/>
        </w:rPr>
      </w:pPr>
      <w:hyperlink w:anchor="_Toc341024672" w:history="1">
        <w:r w:rsidR="007B5B09" w:rsidRPr="004720A2">
          <w:rPr>
            <w:rStyle w:val="Hyperlink"/>
            <w:noProof/>
          </w:rPr>
          <w:t>11.1</w:t>
        </w:r>
        <w:r w:rsidR="007B5B09" w:rsidRPr="00D3090A">
          <w:rPr>
            <w:b w:val="0"/>
            <w:smallCaps w:val="0"/>
            <w:noProof/>
            <w:szCs w:val="22"/>
          </w:rPr>
          <w:tab/>
        </w:r>
        <w:r w:rsidR="007B5B09" w:rsidRPr="004720A2">
          <w:rPr>
            <w:rStyle w:val="Hyperlink"/>
            <w:noProof/>
          </w:rPr>
          <w:t>Ministeriet for By, Bolig og Landdistrikter</w:t>
        </w:r>
        <w:r w:rsidR="007B5B09">
          <w:rPr>
            <w:noProof/>
            <w:webHidden/>
          </w:rPr>
          <w:tab/>
        </w:r>
        <w:r w:rsidR="007B5B09">
          <w:rPr>
            <w:noProof/>
            <w:webHidden/>
          </w:rPr>
          <w:fldChar w:fldCharType="begin"/>
        </w:r>
        <w:r w:rsidR="007B5B09">
          <w:rPr>
            <w:noProof/>
            <w:webHidden/>
          </w:rPr>
          <w:instrText xml:space="preserve"> PAGEREF _Toc341024672 \h </w:instrText>
        </w:r>
        <w:r w:rsidR="007B5B09">
          <w:rPr>
            <w:noProof/>
            <w:webHidden/>
          </w:rPr>
        </w:r>
        <w:r w:rsidR="007B5B09">
          <w:rPr>
            <w:noProof/>
            <w:webHidden/>
          </w:rPr>
          <w:fldChar w:fldCharType="separate"/>
        </w:r>
        <w:r w:rsidR="0091000E">
          <w:rPr>
            <w:noProof/>
            <w:webHidden/>
          </w:rPr>
          <w:t>34</w:t>
        </w:r>
        <w:r w:rsidR="007B5B09">
          <w:rPr>
            <w:noProof/>
            <w:webHidden/>
          </w:rPr>
          <w:fldChar w:fldCharType="end"/>
        </w:r>
      </w:hyperlink>
    </w:p>
    <w:p w:rsidR="007B5B09" w:rsidRPr="00D3090A" w:rsidRDefault="004B01EA">
      <w:pPr>
        <w:pStyle w:val="Indholdsfortegnelse2"/>
        <w:tabs>
          <w:tab w:val="left" w:pos="970"/>
          <w:tab w:val="right" w:leader="dot" w:pos="8495"/>
        </w:tabs>
        <w:rPr>
          <w:b w:val="0"/>
          <w:smallCaps w:val="0"/>
          <w:noProof/>
          <w:szCs w:val="22"/>
        </w:rPr>
      </w:pPr>
      <w:hyperlink w:anchor="_Toc341024673" w:history="1">
        <w:r w:rsidR="007B5B09" w:rsidRPr="004720A2">
          <w:rPr>
            <w:rStyle w:val="Hyperlink"/>
            <w:noProof/>
          </w:rPr>
          <w:t>11.2</w:t>
        </w:r>
        <w:r w:rsidR="007B5B09" w:rsidRPr="00D3090A">
          <w:rPr>
            <w:b w:val="0"/>
            <w:smallCaps w:val="0"/>
            <w:noProof/>
            <w:szCs w:val="22"/>
          </w:rPr>
          <w:tab/>
        </w:r>
        <w:r w:rsidR="007B5B09" w:rsidRPr="004720A2">
          <w:rPr>
            <w:rStyle w:val="Hyperlink"/>
            <w:noProof/>
          </w:rPr>
          <w:t>Kommunerne</w:t>
        </w:r>
        <w:r w:rsidR="007B5B09">
          <w:rPr>
            <w:noProof/>
            <w:webHidden/>
          </w:rPr>
          <w:tab/>
        </w:r>
        <w:r w:rsidR="007B5B09">
          <w:rPr>
            <w:noProof/>
            <w:webHidden/>
          </w:rPr>
          <w:fldChar w:fldCharType="begin"/>
        </w:r>
        <w:r w:rsidR="007B5B09">
          <w:rPr>
            <w:noProof/>
            <w:webHidden/>
          </w:rPr>
          <w:instrText xml:space="preserve"> PAGEREF _Toc341024673 \h </w:instrText>
        </w:r>
        <w:r w:rsidR="007B5B09">
          <w:rPr>
            <w:noProof/>
            <w:webHidden/>
          </w:rPr>
        </w:r>
        <w:r w:rsidR="007B5B09">
          <w:rPr>
            <w:noProof/>
            <w:webHidden/>
          </w:rPr>
          <w:fldChar w:fldCharType="separate"/>
        </w:r>
        <w:r w:rsidR="0091000E">
          <w:rPr>
            <w:noProof/>
            <w:webHidden/>
          </w:rPr>
          <w:t>35</w:t>
        </w:r>
        <w:r w:rsidR="007B5B09">
          <w:rPr>
            <w:noProof/>
            <w:webHidden/>
          </w:rPr>
          <w:fldChar w:fldCharType="end"/>
        </w:r>
      </w:hyperlink>
    </w:p>
    <w:p w:rsidR="007B5B09" w:rsidRPr="00D3090A" w:rsidRDefault="004B01EA">
      <w:pPr>
        <w:pStyle w:val="Indholdsfortegnelse2"/>
        <w:tabs>
          <w:tab w:val="left" w:pos="970"/>
          <w:tab w:val="right" w:leader="dot" w:pos="8495"/>
        </w:tabs>
        <w:rPr>
          <w:b w:val="0"/>
          <w:smallCaps w:val="0"/>
          <w:noProof/>
          <w:szCs w:val="22"/>
        </w:rPr>
      </w:pPr>
      <w:hyperlink w:anchor="_Toc341024674" w:history="1">
        <w:r w:rsidR="007B5B09" w:rsidRPr="004720A2">
          <w:rPr>
            <w:rStyle w:val="Hyperlink"/>
            <w:noProof/>
          </w:rPr>
          <w:t>11.3</w:t>
        </w:r>
        <w:r w:rsidR="007B5B09" w:rsidRPr="00D3090A">
          <w:rPr>
            <w:b w:val="0"/>
            <w:smallCaps w:val="0"/>
            <w:noProof/>
            <w:szCs w:val="22"/>
          </w:rPr>
          <w:tab/>
        </w:r>
        <w:r w:rsidR="007B5B09" w:rsidRPr="004720A2">
          <w:rPr>
            <w:rStyle w:val="Hyperlink"/>
            <w:noProof/>
          </w:rPr>
          <w:t>Kort- og Matrikelstyrelsen</w:t>
        </w:r>
        <w:r w:rsidR="007B5B09">
          <w:rPr>
            <w:noProof/>
            <w:webHidden/>
          </w:rPr>
          <w:tab/>
        </w:r>
        <w:r w:rsidR="007B5B09">
          <w:rPr>
            <w:noProof/>
            <w:webHidden/>
          </w:rPr>
          <w:fldChar w:fldCharType="begin"/>
        </w:r>
        <w:r w:rsidR="007B5B09">
          <w:rPr>
            <w:noProof/>
            <w:webHidden/>
          </w:rPr>
          <w:instrText xml:space="preserve"> PAGEREF _Toc341024674 \h </w:instrText>
        </w:r>
        <w:r w:rsidR="007B5B09">
          <w:rPr>
            <w:noProof/>
            <w:webHidden/>
          </w:rPr>
        </w:r>
        <w:r w:rsidR="007B5B09">
          <w:rPr>
            <w:noProof/>
            <w:webHidden/>
          </w:rPr>
          <w:fldChar w:fldCharType="separate"/>
        </w:r>
        <w:r w:rsidR="0091000E">
          <w:rPr>
            <w:noProof/>
            <w:webHidden/>
          </w:rPr>
          <w:t>35</w:t>
        </w:r>
        <w:r w:rsidR="007B5B09">
          <w:rPr>
            <w:noProof/>
            <w:webHidden/>
          </w:rPr>
          <w:fldChar w:fldCharType="end"/>
        </w:r>
      </w:hyperlink>
    </w:p>
    <w:p w:rsidR="007B5B09" w:rsidRPr="00D3090A" w:rsidRDefault="004B01EA">
      <w:pPr>
        <w:pStyle w:val="Indholdsfortegnelse2"/>
        <w:tabs>
          <w:tab w:val="left" w:pos="970"/>
          <w:tab w:val="right" w:leader="dot" w:pos="8495"/>
        </w:tabs>
        <w:rPr>
          <w:b w:val="0"/>
          <w:smallCaps w:val="0"/>
          <w:noProof/>
          <w:szCs w:val="22"/>
        </w:rPr>
      </w:pPr>
      <w:hyperlink w:anchor="_Toc341024675" w:history="1">
        <w:r w:rsidR="007B5B09" w:rsidRPr="004720A2">
          <w:rPr>
            <w:rStyle w:val="Hyperlink"/>
            <w:noProof/>
          </w:rPr>
          <w:t>11.4</w:t>
        </w:r>
        <w:r w:rsidR="007B5B09" w:rsidRPr="00D3090A">
          <w:rPr>
            <w:b w:val="0"/>
            <w:smallCaps w:val="0"/>
            <w:noProof/>
            <w:szCs w:val="22"/>
          </w:rPr>
          <w:tab/>
        </w:r>
        <w:r w:rsidR="007B5B09" w:rsidRPr="004720A2">
          <w:rPr>
            <w:rStyle w:val="Hyperlink"/>
            <w:noProof/>
          </w:rPr>
          <w:t>SKAT</w:t>
        </w:r>
        <w:r w:rsidR="007B5B09">
          <w:rPr>
            <w:noProof/>
            <w:webHidden/>
          </w:rPr>
          <w:tab/>
        </w:r>
        <w:r w:rsidR="007B5B09">
          <w:rPr>
            <w:noProof/>
            <w:webHidden/>
          </w:rPr>
          <w:fldChar w:fldCharType="begin"/>
        </w:r>
        <w:r w:rsidR="007B5B09">
          <w:rPr>
            <w:noProof/>
            <w:webHidden/>
          </w:rPr>
          <w:instrText xml:space="preserve"> PAGEREF _Toc341024675 \h </w:instrText>
        </w:r>
        <w:r w:rsidR="007B5B09">
          <w:rPr>
            <w:noProof/>
            <w:webHidden/>
          </w:rPr>
        </w:r>
        <w:r w:rsidR="007B5B09">
          <w:rPr>
            <w:noProof/>
            <w:webHidden/>
          </w:rPr>
          <w:fldChar w:fldCharType="separate"/>
        </w:r>
        <w:r w:rsidR="0091000E">
          <w:rPr>
            <w:noProof/>
            <w:webHidden/>
          </w:rPr>
          <w:t>36</w:t>
        </w:r>
        <w:r w:rsidR="007B5B09">
          <w:rPr>
            <w:noProof/>
            <w:webHidden/>
          </w:rPr>
          <w:fldChar w:fldCharType="end"/>
        </w:r>
      </w:hyperlink>
    </w:p>
    <w:p w:rsidR="007B5B09" w:rsidRPr="00D3090A" w:rsidRDefault="004B01EA">
      <w:pPr>
        <w:pStyle w:val="Indholdsfortegnelse2"/>
        <w:tabs>
          <w:tab w:val="left" w:pos="970"/>
          <w:tab w:val="right" w:leader="dot" w:pos="8495"/>
        </w:tabs>
        <w:rPr>
          <w:b w:val="0"/>
          <w:smallCaps w:val="0"/>
          <w:noProof/>
          <w:szCs w:val="22"/>
        </w:rPr>
      </w:pPr>
      <w:hyperlink w:anchor="_Toc341024676" w:history="1">
        <w:r w:rsidR="007B5B09" w:rsidRPr="004720A2">
          <w:rPr>
            <w:rStyle w:val="Hyperlink"/>
            <w:noProof/>
          </w:rPr>
          <w:t>11.5</w:t>
        </w:r>
        <w:r w:rsidR="007B5B09" w:rsidRPr="00D3090A">
          <w:rPr>
            <w:b w:val="0"/>
            <w:smallCaps w:val="0"/>
            <w:noProof/>
            <w:szCs w:val="22"/>
          </w:rPr>
          <w:tab/>
        </w:r>
        <w:r w:rsidR="007B5B09" w:rsidRPr="004720A2">
          <w:rPr>
            <w:rStyle w:val="Hyperlink"/>
            <w:noProof/>
          </w:rPr>
          <w:t>Domstolsstyrelsen</w:t>
        </w:r>
        <w:r w:rsidR="007B5B09">
          <w:rPr>
            <w:noProof/>
            <w:webHidden/>
          </w:rPr>
          <w:tab/>
        </w:r>
        <w:r w:rsidR="007B5B09">
          <w:rPr>
            <w:noProof/>
            <w:webHidden/>
          </w:rPr>
          <w:fldChar w:fldCharType="begin"/>
        </w:r>
        <w:r w:rsidR="007B5B09">
          <w:rPr>
            <w:noProof/>
            <w:webHidden/>
          </w:rPr>
          <w:instrText xml:space="preserve"> PAGEREF _Toc341024676 \h </w:instrText>
        </w:r>
        <w:r w:rsidR="007B5B09">
          <w:rPr>
            <w:noProof/>
            <w:webHidden/>
          </w:rPr>
        </w:r>
        <w:r w:rsidR="007B5B09">
          <w:rPr>
            <w:noProof/>
            <w:webHidden/>
          </w:rPr>
          <w:fldChar w:fldCharType="separate"/>
        </w:r>
        <w:r w:rsidR="0091000E">
          <w:rPr>
            <w:noProof/>
            <w:webHidden/>
          </w:rPr>
          <w:t>36</w:t>
        </w:r>
        <w:r w:rsidR="007B5B09">
          <w:rPr>
            <w:noProof/>
            <w:webHidden/>
          </w:rPr>
          <w:fldChar w:fldCharType="end"/>
        </w:r>
      </w:hyperlink>
    </w:p>
    <w:p w:rsidR="005B7AD0" w:rsidRPr="00AC5579" w:rsidRDefault="000C5EB6" w:rsidP="00B516AC">
      <w:pPr>
        <w:pStyle w:val="Brdtekst"/>
      </w:pPr>
      <w:r w:rsidRPr="00AC5579">
        <w:rPr>
          <w:bCs/>
          <w:caps/>
          <w:sz w:val="24"/>
          <w:lang w:eastAsia="da-DK"/>
        </w:rPr>
        <w:fldChar w:fldCharType="end"/>
      </w:r>
    </w:p>
    <w:p w:rsidR="002261C8" w:rsidRPr="00AC5579" w:rsidRDefault="002261C8" w:rsidP="00006569">
      <w:pPr>
        <w:pStyle w:val="Overskrift1"/>
        <w:tabs>
          <w:tab w:val="clear" w:pos="794"/>
          <w:tab w:val="left" w:pos="567"/>
          <w:tab w:val="left" w:pos="851"/>
          <w:tab w:val="left" w:pos="1134"/>
        </w:tabs>
        <w:spacing w:before="0" w:after="120"/>
        <w:ind w:left="567" w:hanging="567"/>
      </w:pPr>
      <w:bookmarkStart w:id="8" w:name="_Toc331337663"/>
      <w:bookmarkStart w:id="9" w:name="_Toc317076671"/>
      <w:bookmarkStart w:id="10" w:name="_Toc317091227"/>
      <w:bookmarkStart w:id="11" w:name="_Toc341024625"/>
      <w:bookmarkEnd w:id="8"/>
      <w:r w:rsidRPr="00AC5579">
        <w:lastRenderedPageBreak/>
        <w:t>Indledning</w:t>
      </w:r>
      <w:bookmarkEnd w:id="9"/>
      <w:bookmarkEnd w:id="10"/>
      <w:bookmarkEnd w:id="11"/>
    </w:p>
    <w:p w:rsidR="003A0904" w:rsidRPr="00AC5579" w:rsidRDefault="00F9542E" w:rsidP="003A0904">
      <w:pPr>
        <w:pStyle w:val="Overskrift2"/>
        <w:rPr>
          <w:lang w:val="da-DK"/>
        </w:rPr>
      </w:pPr>
      <w:bookmarkStart w:id="12" w:name="_Toc341024626"/>
      <w:r w:rsidRPr="00AC5579">
        <w:rPr>
          <w:lang w:val="da-DK"/>
        </w:rPr>
        <w:t>Programmets a</w:t>
      </w:r>
      <w:r w:rsidR="003A0904" w:rsidRPr="00AC5579">
        <w:rPr>
          <w:lang w:val="da-DK"/>
        </w:rPr>
        <w:t>nledning</w:t>
      </w:r>
      <w:bookmarkEnd w:id="12"/>
    </w:p>
    <w:p w:rsidR="008F18D6" w:rsidRDefault="008F18D6" w:rsidP="008F18D6">
      <w:r>
        <w:t xml:space="preserve">I regi af den fællesoffentlige digitaliseringsstrategi 2011-2015 har regeringen og Kommunernes Landsforening (KL) har </w:t>
      </w:r>
      <w:r w:rsidRPr="006A04C7">
        <w:t xml:space="preserve">den 3. oktober 2012 indgået en aftale om </w:t>
      </w:r>
      <w:r>
        <w:t xml:space="preserve">et </w:t>
      </w:r>
      <w:r w:rsidRPr="006A04C7">
        <w:t>grunddata</w:t>
      </w:r>
      <w:r>
        <w:t>program</w:t>
      </w:r>
      <w:r w:rsidRPr="006A04C7">
        <w:t xml:space="preserve"> under overskriften: Aftale om gode grunddata til alle – en</w:t>
      </w:r>
      <w:r>
        <w:t xml:space="preserve"> kilde til vækst og effektivisering. Delaftale 1 om ”Effektiv ejendomsforvaltning og genbrug af ejendomsdata” er en af grunddataprogrammets i alt 7 delaftaler. Delaftale 1 indeholder flere projekter og styres derfor som delprogram 1 under grunddataprogrammet. I det følgende betegnes  delprogram 1 som ”programmet”. </w:t>
      </w:r>
    </w:p>
    <w:p w:rsidR="008F18D6" w:rsidRDefault="008F18D6" w:rsidP="008F18D6"/>
    <w:p w:rsidR="008F18D6" w:rsidRPr="00AC5579" w:rsidRDefault="008F18D6" w:rsidP="008F18D6">
      <w:r>
        <w:t>Parterne bag delaftale 1 er</w:t>
      </w:r>
      <w:r w:rsidRPr="00AC5579">
        <w:t>:</w:t>
      </w:r>
    </w:p>
    <w:p w:rsidR="008F18D6" w:rsidRPr="00AC5579" w:rsidRDefault="008F18D6" w:rsidP="008F18D6">
      <w:pPr>
        <w:numPr>
          <w:ilvl w:val="0"/>
          <w:numId w:val="29"/>
        </w:numPr>
      </w:pPr>
      <w:r w:rsidRPr="00AC5579">
        <w:t>Finansministeriet v/ Digitaliseringsstyrel</w:t>
      </w:r>
      <w:r w:rsidR="00006569">
        <w:t>s</w:t>
      </w:r>
      <w:r w:rsidRPr="00AC5579">
        <w:t xml:space="preserve">en </w:t>
      </w:r>
    </w:p>
    <w:p w:rsidR="00006569" w:rsidRPr="00AC5579" w:rsidRDefault="008F18D6" w:rsidP="00006569">
      <w:pPr>
        <w:numPr>
          <w:ilvl w:val="0"/>
          <w:numId w:val="29"/>
        </w:numPr>
      </w:pPr>
      <w:r w:rsidRPr="00AC5579">
        <w:t>Ministeriet for By-, Bolig</w:t>
      </w:r>
      <w:r w:rsidR="00006569">
        <w:t>- og Landdistrikter</w:t>
      </w:r>
    </w:p>
    <w:p w:rsidR="008F18D6" w:rsidRPr="00AC5579" w:rsidRDefault="008F18D6" w:rsidP="008F18D6">
      <w:pPr>
        <w:numPr>
          <w:ilvl w:val="0"/>
          <w:numId w:val="29"/>
        </w:numPr>
      </w:pPr>
      <w:r w:rsidRPr="00AC5579">
        <w:t>Miljøministeriet</w:t>
      </w:r>
      <w:r>
        <w:t xml:space="preserve"> v/ </w:t>
      </w:r>
      <w:r w:rsidR="00DE2785">
        <w:t>Geodatastyrelsen</w:t>
      </w:r>
    </w:p>
    <w:p w:rsidR="008F18D6" w:rsidRPr="00AC5579" w:rsidRDefault="008F18D6" w:rsidP="008F18D6">
      <w:pPr>
        <w:numPr>
          <w:ilvl w:val="0"/>
          <w:numId w:val="29"/>
        </w:numPr>
      </w:pPr>
      <w:r w:rsidRPr="00AC5579">
        <w:t>Justitsministeriet v/ Domstolsstyrelsen og Tinglysningsretten</w:t>
      </w:r>
    </w:p>
    <w:p w:rsidR="008F18D6" w:rsidRPr="00AC5579" w:rsidRDefault="008F18D6" w:rsidP="008F18D6">
      <w:pPr>
        <w:numPr>
          <w:ilvl w:val="0"/>
          <w:numId w:val="29"/>
        </w:numPr>
      </w:pPr>
      <w:r>
        <w:t>KL</w:t>
      </w:r>
    </w:p>
    <w:p w:rsidR="00C95126" w:rsidRDefault="00C95126" w:rsidP="003A0904">
      <w:pPr>
        <w:rPr>
          <w:u w:val="single"/>
        </w:rPr>
      </w:pPr>
    </w:p>
    <w:p w:rsidR="00666E8C" w:rsidRDefault="00666E8C" w:rsidP="003A0904">
      <w:r w:rsidRPr="00B4125E">
        <w:t>Programmet tager udgangspunkt i delaftale 1 og de forarbejder, der er grundlaget for delaftalens business case.</w:t>
      </w:r>
      <w:r w:rsidR="00AA35B1" w:rsidRPr="00B4125E">
        <w:t xml:space="preserve"> </w:t>
      </w:r>
      <w:r w:rsidR="00A77516">
        <w:t>Re</w:t>
      </w:r>
      <w:r w:rsidR="00AA35B1" w:rsidRPr="00B4125E">
        <w:t>ferencer til de forberedende arbejder</w:t>
      </w:r>
      <w:r w:rsidR="00A77516">
        <w:t xml:space="preserve"> er gengivet p. </w:t>
      </w:r>
      <w:r w:rsidR="00A77516">
        <w:fldChar w:fldCharType="begin"/>
      </w:r>
      <w:r w:rsidR="00A77516">
        <w:instrText xml:space="preserve"> PAGEREF _Ref340742798 \h </w:instrText>
      </w:r>
      <w:r w:rsidR="00A77516">
        <w:fldChar w:fldCharType="separate"/>
      </w:r>
      <w:r w:rsidR="0091000E">
        <w:rPr>
          <w:noProof/>
        </w:rPr>
        <w:t>20</w:t>
      </w:r>
      <w:r w:rsidR="00A77516">
        <w:fldChar w:fldCharType="end"/>
      </w:r>
      <w:r w:rsidR="00AA35B1" w:rsidRPr="00B4125E">
        <w:t>.</w:t>
      </w:r>
    </w:p>
    <w:p w:rsidR="003C1DCA" w:rsidRDefault="00D8509F" w:rsidP="00B4125E">
      <w:pPr>
        <w:pStyle w:val="Overskrift2"/>
      </w:pPr>
      <w:bookmarkStart w:id="13" w:name="_Toc341024627"/>
      <w:r>
        <w:t>Programstyringsdokumentets formål</w:t>
      </w:r>
      <w:bookmarkEnd w:id="13"/>
    </w:p>
    <w:p w:rsidR="003C1DCA" w:rsidRPr="00AC5579" w:rsidRDefault="003C1DCA" w:rsidP="003C1DCA">
      <w:r w:rsidRPr="00AC5579">
        <w:t>Nærværende styringsdokument fokuserer på de enkelte aftaleparters ansvar og opgaveportefølje i forbindelse me</w:t>
      </w:r>
      <w:r w:rsidR="00D8509F">
        <w:t>d gennemførelsen af delaftale 1</w:t>
      </w:r>
      <w:r w:rsidRPr="00AC5579">
        <w:t xml:space="preserve">. </w:t>
      </w:r>
    </w:p>
    <w:p w:rsidR="003C1DCA" w:rsidRPr="00AC5579" w:rsidRDefault="003C1DCA" w:rsidP="003C1DCA"/>
    <w:p w:rsidR="003C1DCA" w:rsidRPr="00AC5579" w:rsidRDefault="003C1DCA" w:rsidP="003C1DCA">
      <w:r w:rsidRPr="00AC5579">
        <w:t xml:space="preserve">Styringsdokumentet </w:t>
      </w:r>
      <w:r>
        <w:t xml:space="preserve">konstituerer aftaler og </w:t>
      </w:r>
      <w:r w:rsidRPr="00AC5579">
        <w:t>danne</w:t>
      </w:r>
      <w:r>
        <w:t>r</w:t>
      </w:r>
      <w:r w:rsidRPr="00AC5579">
        <w:t xml:space="preserve"> grundlaget for planlægning og tilrettelæggelse af programmet som helhed og for koordinationen mellem aftaleparternes projekter. </w:t>
      </w:r>
    </w:p>
    <w:p w:rsidR="00F9542E" w:rsidRPr="00AC5579" w:rsidRDefault="00F9542E" w:rsidP="00F9542E">
      <w:pPr>
        <w:pStyle w:val="Overskrift2"/>
        <w:rPr>
          <w:lang w:val="da-DK"/>
        </w:rPr>
      </w:pPr>
      <w:bookmarkStart w:id="14" w:name="_Toc341024628"/>
      <w:r w:rsidRPr="00AC5579">
        <w:rPr>
          <w:lang w:val="da-DK"/>
        </w:rPr>
        <w:t>Programmets interessenter</w:t>
      </w:r>
      <w:bookmarkEnd w:id="14"/>
    </w:p>
    <w:p w:rsidR="005B6070" w:rsidRPr="00AC5579" w:rsidRDefault="005B6070" w:rsidP="00CB25E4">
      <w:r w:rsidRPr="00AC5579">
        <w:t>Programmets medvirkende:</w:t>
      </w:r>
    </w:p>
    <w:p w:rsidR="00CB25E4" w:rsidRPr="00AC5579" w:rsidRDefault="00CB25E4" w:rsidP="008971BA">
      <w:pPr>
        <w:numPr>
          <w:ilvl w:val="0"/>
          <w:numId w:val="29"/>
        </w:numPr>
      </w:pPr>
      <w:r w:rsidRPr="00AC5579">
        <w:rPr>
          <w:b/>
        </w:rPr>
        <w:t>Digitaliseringsstyrelsen</w:t>
      </w:r>
      <w:r w:rsidRPr="00AC5579">
        <w:t xml:space="preserve"> (DIGST) har det overordnede ansvar for realiseringen af grunddataprogrammet under den fællesoffentlige digitaliseringsstrategi.</w:t>
      </w:r>
      <w:r w:rsidR="00857BC4" w:rsidRPr="00AC5579">
        <w:t xml:space="preserve"> Nærværende program vil via Grunddatabestyrelsen blive koordineret med grunddataprogrammet og </w:t>
      </w:r>
      <w:r w:rsidR="00335BBE" w:rsidRPr="00AC5579">
        <w:t>andre overordnede tiltag</w:t>
      </w:r>
      <w:r w:rsidR="00857BC4" w:rsidRPr="00AC5579">
        <w:t>.</w:t>
      </w:r>
    </w:p>
    <w:p w:rsidR="00CB25E4" w:rsidRPr="00AC5579" w:rsidRDefault="00CB25E4" w:rsidP="00CB25E4"/>
    <w:p w:rsidR="00533B6F" w:rsidRPr="00AC5579" w:rsidRDefault="00DE2F6C" w:rsidP="008971BA">
      <w:pPr>
        <w:numPr>
          <w:ilvl w:val="0"/>
          <w:numId w:val="29"/>
        </w:numPr>
      </w:pPr>
      <w:r w:rsidRPr="00AC5579">
        <w:rPr>
          <w:b/>
        </w:rPr>
        <w:t>Ministeriet for By- Bolig og landdistrikter</w:t>
      </w:r>
      <w:r w:rsidRPr="00AC5579">
        <w:t xml:space="preserve"> (MBBL) koordinerer og leverer sekretariatsbistand til programmet. MBBL  har det overordnede ansvar for Bygnings- og Boligregistret (BBR) for</w:t>
      </w:r>
      <w:r w:rsidR="00025C42">
        <w:t>/ved</w:t>
      </w:r>
      <w:r w:rsidRPr="00AC5579">
        <w:t xml:space="preserve"> samordningen af ejendomsdataområdet og for at stille bygnings- og ejendomsdata mv. til rådighed for myn</w:t>
      </w:r>
      <w:r w:rsidRPr="00AC5579">
        <w:softHyphen/>
        <w:t xml:space="preserve">digheder, private virksomheder og borgere.  BBR-data anvendes i en lang række kommunale og statslige forvaltningsprocesser – lige fra fx ejendomsvurdering og sagsbehandling til analyser samt beregning af bloktilskud til kommunerne. BBR bruges også flittigt af ejendomsmæglere, banker, realkreditinstitutter, boligadvokater, forsyningsselskaber m.fl.  </w:t>
      </w:r>
    </w:p>
    <w:p w:rsidR="00F27FF0" w:rsidRPr="00AC5579" w:rsidRDefault="00F27FF0" w:rsidP="003A0904"/>
    <w:p w:rsidR="00F27FF0" w:rsidRPr="00AC5579" w:rsidRDefault="00533A36" w:rsidP="008971BA">
      <w:pPr>
        <w:numPr>
          <w:ilvl w:val="0"/>
          <w:numId w:val="29"/>
        </w:numPr>
        <w:rPr>
          <w:u w:val="single"/>
        </w:rPr>
      </w:pPr>
      <w:r>
        <w:rPr>
          <w:b/>
        </w:rPr>
        <w:t xml:space="preserve">Geodatastyrelsen </w:t>
      </w:r>
      <w:r w:rsidR="00DE2F6C" w:rsidRPr="00AC5579">
        <w:t>(</w:t>
      </w:r>
      <w:r w:rsidR="00DE2785">
        <w:t>GST</w:t>
      </w:r>
      <w:r w:rsidR="00DE2F6C" w:rsidRPr="00AC5579">
        <w:t>) har som matrikelmyndighed</w:t>
      </w:r>
      <w:r w:rsidR="00BC236B" w:rsidRPr="00AC5579">
        <w:t xml:space="preserve"> ansvaret for registreringer i M</w:t>
      </w:r>
      <w:r w:rsidR="00DE2F6C" w:rsidRPr="00AC5579">
        <w:t xml:space="preserve">atriklen. Matriklens oplysninger er grundlaget for andre myndigheders registreringer, herunder BBR, tinglysning og ejendomsbeskatning. </w:t>
      </w:r>
      <w:r w:rsidR="00DE2785">
        <w:t>GST</w:t>
      </w:r>
      <w:r w:rsidR="00DE2F6C" w:rsidRPr="00AC5579">
        <w:t xml:space="preserve"> stiller </w:t>
      </w:r>
      <w:r w:rsidR="00BC236B" w:rsidRPr="00AC5579">
        <w:t xml:space="preserve">ejendomsdata </w:t>
      </w:r>
      <w:r w:rsidR="00DE2F6C" w:rsidRPr="00AC5579">
        <w:t>til rådighed for myn</w:t>
      </w:r>
      <w:r w:rsidR="00DE2F6C" w:rsidRPr="00AC5579">
        <w:softHyphen/>
        <w:t xml:space="preserve">digheder, private virksomheder og borgere. </w:t>
      </w:r>
    </w:p>
    <w:p w:rsidR="00DE2F6C" w:rsidRPr="00AC5579" w:rsidRDefault="00DE2F6C" w:rsidP="003A0904">
      <w:pPr>
        <w:rPr>
          <w:u w:val="single"/>
        </w:rPr>
      </w:pPr>
    </w:p>
    <w:p w:rsidR="00D914D7" w:rsidRPr="00AC5579" w:rsidRDefault="00DE2F6C" w:rsidP="008971BA">
      <w:pPr>
        <w:numPr>
          <w:ilvl w:val="0"/>
          <w:numId w:val="29"/>
        </w:numPr>
      </w:pPr>
      <w:r w:rsidRPr="00AC5579">
        <w:rPr>
          <w:b/>
        </w:rPr>
        <w:t>Domstolsstyrelsen</w:t>
      </w:r>
      <w:r w:rsidRPr="00AC5579">
        <w:t xml:space="preserve"> (DMST) har ansvaret for at udvikle og administrere domstolene, her</w:t>
      </w:r>
      <w:r w:rsidRPr="00AC5579">
        <w:softHyphen/>
        <w:t>under Tinglysningsretten. Tinglysningsretten har ansvaret for at tinglyse rettigheder ved</w:t>
      </w:r>
      <w:r w:rsidRPr="00AC5579">
        <w:softHyphen/>
        <w:t>rørende fast ejendom, herunder oplysninger om ejerforhold. Domstolsstyrelsen  stiller ejendomsdata til rådighed for myn</w:t>
      </w:r>
      <w:r w:rsidRPr="00AC5579">
        <w:softHyphen/>
        <w:t>digheder, private virksomheder og borgere</w:t>
      </w:r>
      <w:r w:rsidR="00BC236B" w:rsidRPr="00AC5579">
        <w:t>.</w:t>
      </w:r>
    </w:p>
    <w:p w:rsidR="00DE2F6C" w:rsidRPr="00AC5579" w:rsidRDefault="00DE2F6C" w:rsidP="003A0904"/>
    <w:p w:rsidR="00533B6F" w:rsidRPr="00AC5579" w:rsidRDefault="00DE2F6C" w:rsidP="008971BA">
      <w:pPr>
        <w:numPr>
          <w:ilvl w:val="0"/>
          <w:numId w:val="29"/>
        </w:numPr>
      </w:pPr>
      <w:r w:rsidRPr="00AC5579">
        <w:rPr>
          <w:b/>
        </w:rPr>
        <w:t>Kommunernes Landsforening</w:t>
      </w:r>
      <w:r w:rsidRPr="00AC5579">
        <w:t xml:space="preserve"> (KL) repræsenterer kommunerne. Kom</w:t>
      </w:r>
      <w:r w:rsidRPr="00AC5579">
        <w:softHyphen/>
        <w:t>mu</w:t>
      </w:r>
      <w:r w:rsidRPr="00AC5579">
        <w:softHyphen/>
        <w:t>nerne registrerer og anvender ejendoms- og bygningsdata i forbindelse med varetagelsen af en række ejendomsrelaterede myndighedsopgaver, herunder den kommunale ejendoms</w:t>
      </w:r>
      <w:r w:rsidRPr="00AC5579">
        <w:softHyphen/>
        <w:t>beskatning. I dag  systemunderstøttes disse opgaver i vidt omfang af det fælleskommunale ejendomsregister (ESR). Desuden er kommunerne vigtige brugere af ejendoms- og bygningsdata i en række kommunale opgavesystemer.</w:t>
      </w:r>
      <w:r w:rsidR="007757B0" w:rsidRPr="00AC5579">
        <w:t xml:space="preserve"> </w:t>
      </w:r>
      <w:r w:rsidR="00D914D7" w:rsidRPr="00AC5579">
        <w:t xml:space="preserve">  </w:t>
      </w:r>
    </w:p>
    <w:p w:rsidR="00CB25E4" w:rsidRPr="00AC5579" w:rsidRDefault="00CB25E4" w:rsidP="003A0904"/>
    <w:p w:rsidR="002F276C" w:rsidRPr="00AC5579" w:rsidRDefault="00CB25E4" w:rsidP="008971BA">
      <w:pPr>
        <w:numPr>
          <w:ilvl w:val="0"/>
          <w:numId w:val="29"/>
        </w:numPr>
      </w:pPr>
      <w:r w:rsidRPr="00AC5579">
        <w:rPr>
          <w:b/>
        </w:rPr>
        <w:t>Skatteministeriet</w:t>
      </w:r>
      <w:r w:rsidRPr="00AC5579">
        <w:t xml:space="preserve"> (SKAT) har ansvaret for vurderingen af landets faste ejendomme. </w:t>
      </w:r>
      <w:r w:rsidR="00586775" w:rsidRPr="00AC5579">
        <w:t xml:space="preserve">SKAT er som sådan en vigtig bruger af ejendoms- og bygningsdata, men står udenfor aftalen om Effektiv genbrug af ejendomsdata.  </w:t>
      </w:r>
      <w:r w:rsidRPr="00AC5579">
        <w:t xml:space="preserve"> Af historiske årsager er SKATs vurderi</w:t>
      </w:r>
      <w:r w:rsidR="00586775" w:rsidRPr="00AC5579">
        <w:t>ngssystem en integreret del af ESR</w:t>
      </w:r>
      <w:r w:rsidRPr="00AC5579">
        <w:t>. Derfor deler kommunerne og SKAT på ejendomsbeskatningsområdet</w:t>
      </w:r>
      <w:r w:rsidR="009D6325" w:rsidRPr="00AC5579">
        <w:t xml:space="preserve"> såvel data som funktionalitet.</w:t>
      </w:r>
    </w:p>
    <w:p w:rsidR="00586775" w:rsidRPr="00AC5579" w:rsidRDefault="00586775" w:rsidP="003A0904"/>
    <w:p w:rsidR="00343112" w:rsidRPr="00AC5579" w:rsidRDefault="00343112" w:rsidP="00343112">
      <w:pPr>
        <w:pStyle w:val="Brdtekst"/>
      </w:pPr>
      <w:r w:rsidRPr="00AC5579">
        <w:t xml:space="preserve">Øvrige interessenter i </w:t>
      </w:r>
      <w:r w:rsidR="008A4CA6" w:rsidRPr="00AC5579">
        <w:t>programmet</w:t>
      </w:r>
      <w:r w:rsidRPr="00AC5579">
        <w:t>:</w:t>
      </w:r>
    </w:p>
    <w:p w:rsidR="00343112" w:rsidRPr="00AC5579" w:rsidRDefault="00343112" w:rsidP="008971BA">
      <w:pPr>
        <w:pStyle w:val="Opstilling-punkttegnmafstand"/>
        <w:numPr>
          <w:ilvl w:val="0"/>
          <w:numId w:val="30"/>
        </w:numPr>
        <w:tabs>
          <w:tab w:val="clear" w:pos="454"/>
        </w:tabs>
        <w:spacing w:line="240" w:lineRule="auto"/>
        <w:ind w:left="709" w:hanging="283"/>
      </w:pPr>
      <w:r w:rsidRPr="00AC5579">
        <w:rPr>
          <w:b/>
        </w:rPr>
        <w:t>Praktiserende landinspektører</w:t>
      </w:r>
      <w:r w:rsidRPr="00AC5579">
        <w:t xml:space="preserve">, som dels fremstiller sager om matrikulære forandringer for kommunen, og dels er leverandør af </w:t>
      </w:r>
      <w:r w:rsidR="00D93B10">
        <w:t xml:space="preserve">ændringer af </w:t>
      </w:r>
      <w:r w:rsidRPr="00AC5579">
        <w:t>ejendomsretlige grunddata til matriklen og ting</w:t>
      </w:r>
      <w:r w:rsidRPr="00AC5579">
        <w:softHyphen/>
        <w:t>bogen.</w:t>
      </w:r>
    </w:p>
    <w:p w:rsidR="00343112" w:rsidRPr="00AC5579" w:rsidRDefault="00343112" w:rsidP="008971BA">
      <w:pPr>
        <w:pStyle w:val="Opstilling-punkttegnmafstand"/>
        <w:numPr>
          <w:ilvl w:val="0"/>
          <w:numId w:val="30"/>
        </w:numPr>
        <w:tabs>
          <w:tab w:val="clear" w:pos="454"/>
        </w:tabs>
        <w:spacing w:line="240" w:lineRule="auto"/>
        <w:ind w:left="709" w:hanging="283"/>
      </w:pPr>
      <w:r w:rsidRPr="00AC5579">
        <w:rPr>
          <w:b/>
        </w:rPr>
        <w:t xml:space="preserve">Offentlige og private </w:t>
      </w:r>
      <w:r w:rsidR="005B6070" w:rsidRPr="00AC5579">
        <w:rPr>
          <w:b/>
        </w:rPr>
        <w:t>anvendere</w:t>
      </w:r>
      <w:r w:rsidRPr="00AC5579">
        <w:rPr>
          <w:b/>
        </w:rPr>
        <w:t xml:space="preserve"> af ejendoms- og bygnings/boligdata</w:t>
      </w:r>
      <w:r w:rsidRPr="00AC5579">
        <w:t xml:space="preserve"> som har behov for en enkel, sikker og konsistent tilgang til data. Foruden kommunerne og SKAT er Fødevareministeriet, Miljøministeriet, DSB og forsvaret vigtige offentlige brugere af ejendomsdata. På den private side er de væsentligste brugere ejendomsmarkedets aktører: realkredit institutioner, banker, </w:t>
      </w:r>
      <w:r w:rsidR="00D735DF">
        <w:t xml:space="preserve">advokater, </w:t>
      </w:r>
      <w:r w:rsidRPr="00AC5579">
        <w:t xml:space="preserve">praktiserende landinspektører, ejendomsmæglere mv. samt forsyningsselskaberne. </w:t>
      </w:r>
    </w:p>
    <w:p w:rsidR="005B6070" w:rsidRDefault="005B6070" w:rsidP="008971BA">
      <w:pPr>
        <w:pStyle w:val="Opstilling-punkttegnmafstand"/>
        <w:numPr>
          <w:ilvl w:val="0"/>
          <w:numId w:val="30"/>
        </w:numPr>
        <w:tabs>
          <w:tab w:val="clear" w:pos="454"/>
        </w:tabs>
        <w:spacing w:line="240" w:lineRule="auto"/>
        <w:ind w:left="709" w:hanging="283"/>
      </w:pPr>
      <w:r w:rsidRPr="00AC5579">
        <w:rPr>
          <w:b/>
        </w:rPr>
        <w:t>FOT-Danmark</w:t>
      </w:r>
      <w:r w:rsidRPr="00AC5579">
        <w:t xml:space="preserve"> som har ansvar for specifikationen af FOTs bygningstema.</w:t>
      </w:r>
    </w:p>
    <w:p w:rsidR="00343112" w:rsidRPr="00AC5579" w:rsidRDefault="00343112" w:rsidP="003A0904"/>
    <w:p w:rsidR="00586775" w:rsidRPr="00AC5579" w:rsidRDefault="00857BC4" w:rsidP="0075338C">
      <w:pPr>
        <w:pStyle w:val="Overskrift2"/>
        <w:rPr>
          <w:lang w:val="da-DK"/>
        </w:rPr>
      </w:pPr>
      <w:bookmarkStart w:id="15" w:name="_Toc341024629"/>
      <w:r w:rsidRPr="00AC5579">
        <w:rPr>
          <w:lang w:val="da-DK"/>
        </w:rPr>
        <w:t>Ejendoms</w:t>
      </w:r>
      <w:r w:rsidR="00586775" w:rsidRPr="00AC5579">
        <w:rPr>
          <w:lang w:val="da-DK"/>
        </w:rPr>
        <w:t>regis</w:t>
      </w:r>
      <w:r w:rsidR="005B6070" w:rsidRPr="00AC5579">
        <w:rPr>
          <w:lang w:val="da-DK"/>
        </w:rPr>
        <w:t xml:space="preserve">tre </w:t>
      </w:r>
      <w:r w:rsidR="00272C96" w:rsidRPr="00AC5579">
        <w:rPr>
          <w:lang w:val="da-DK"/>
        </w:rPr>
        <w:t>der er i spil</w:t>
      </w:r>
      <w:bookmarkEnd w:id="15"/>
    </w:p>
    <w:p w:rsidR="00DA1678" w:rsidRPr="00AC5579" w:rsidRDefault="00DA1678" w:rsidP="00DA1678">
      <w:r w:rsidRPr="00AC5579">
        <w:rPr>
          <w:b/>
        </w:rPr>
        <w:t>Matriklen</w:t>
      </w:r>
      <w:r w:rsidRPr="00AC5579">
        <w:t xml:space="preserve"> består af hhv. Matrikelregisteret og Matrikelkortet, der indeholder oplysninger om Danmarks ca. 2,5 mio. jordstykker og deres arealstørrelser mv. Hvert jordstykke er identificeret ved et matrikelnummer og er stedfæstet på matrikelkortet. </w:t>
      </w:r>
    </w:p>
    <w:p w:rsidR="00DA1678" w:rsidRPr="00AC5579" w:rsidRDefault="00DA1678" w:rsidP="00DA1678"/>
    <w:p w:rsidR="00DA1678" w:rsidRPr="00AC5579" w:rsidRDefault="00DA1678" w:rsidP="00DA1678">
      <w:pPr>
        <w:autoSpaceDE w:val="0"/>
        <w:autoSpaceDN w:val="0"/>
        <w:adjustRightInd w:val="0"/>
        <w:rPr>
          <w:rFonts w:cs="Arial"/>
        </w:rPr>
      </w:pPr>
      <w:r w:rsidRPr="00AC5579">
        <w:rPr>
          <w:rFonts w:cs="Arial"/>
          <w:b/>
        </w:rPr>
        <w:t xml:space="preserve">BBR </w:t>
      </w:r>
      <w:r w:rsidR="00DE2F6C" w:rsidRPr="00AC5579">
        <w:rPr>
          <w:rFonts w:cs="Arial"/>
        </w:rPr>
        <w:t xml:space="preserve">(Bygnings- og Boligregisteret) </w:t>
      </w:r>
      <w:r w:rsidRPr="00AC5579">
        <w:rPr>
          <w:rFonts w:cs="Arial"/>
        </w:rPr>
        <w:t>indeholder detaljerede oplysninger om alle landets bygninger og boliger. BBR indeholder tillige det komplette register for alle landets adresser med geografiske koordinater.</w:t>
      </w:r>
    </w:p>
    <w:p w:rsidR="00DA1678" w:rsidRPr="00AC5579" w:rsidRDefault="00DA1678" w:rsidP="00DA1678">
      <w:pPr>
        <w:autoSpaceDE w:val="0"/>
        <w:autoSpaceDN w:val="0"/>
        <w:adjustRightInd w:val="0"/>
        <w:rPr>
          <w:rFonts w:cs="Arial"/>
        </w:rPr>
      </w:pPr>
    </w:p>
    <w:p w:rsidR="00DA1678" w:rsidRPr="00AC5579" w:rsidRDefault="00DA1678" w:rsidP="00DA1678">
      <w:r w:rsidRPr="00AC5579">
        <w:rPr>
          <w:b/>
        </w:rPr>
        <w:t>Tingbogen</w:t>
      </w:r>
      <w:r w:rsidRPr="00AC5579">
        <w:t xml:space="preserve"> indeholder oplysninger om de rettigheder, der er tinglyst på en bestemt fast ejendom. Tingbogen opdeler rettighederne i </w:t>
      </w:r>
      <w:r w:rsidRPr="00AC5579">
        <w:rPr>
          <w:i/>
        </w:rPr>
        <w:t>adkomst</w:t>
      </w:r>
      <w:r w:rsidRPr="00AC5579">
        <w:t xml:space="preserve"> (tinglyst ejer), </w:t>
      </w:r>
      <w:r w:rsidRPr="00AC5579">
        <w:rPr>
          <w:i/>
        </w:rPr>
        <w:t>by</w:t>
      </w:r>
      <w:r w:rsidR="00F471FB">
        <w:rPr>
          <w:i/>
        </w:rPr>
        <w:t>r</w:t>
      </w:r>
      <w:r w:rsidRPr="00AC5579">
        <w:rPr>
          <w:i/>
        </w:rPr>
        <w:t>der</w:t>
      </w:r>
      <w:r w:rsidRPr="00AC5579">
        <w:t xml:space="preserve"> (servitutter) og </w:t>
      </w:r>
      <w:r w:rsidRPr="00AC5579">
        <w:rPr>
          <w:i/>
        </w:rPr>
        <w:t>hæftelser</w:t>
      </w:r>
      <w:r w:rsidRPr="00AC5579">
        <w:t xml:space="preserve"> (lån i ejendommen). </w:t>
      </w:r>
    </w:p>
    <w:p w:rsidR="00DA1678" w:rsidRPr="00AC5579" w:rsidRDefault="00DA1678" w:rsidP="00DA1678"/>
    <w:p w:rsidR="00857BC4" w:rsidRPr="00AC5579" w:rsidRDefault="00DA1678" w:rsidP="00DA1678">
      <w:r w:rsidRPr="00AC5579">
        <w:rPr>
          <w:b/>
        </w:rPr>
        <w:t>Ejerfortegnelsen</w:t>
      </w:r>
      <w:r w:rsidRPr="00AC5579">
        <w:t xml:space="preserve"> er et nyt autoritativt register over de faktiske ejere af al fast ejendom i Danmark</w:t>
      </w:r>
      <w:r w:rsidR="00BC236B" w:rsidRPr="00AC5579">
        <w:t xml:space="preserve">. Ejerfortegnelsen </w:t>
      </w:r>
      <w:r w:rsidRPr="00AC5579">
        <w:t xml:space="preserve">etableres i tilknytning til Tingbogen ved at samle oplysninger om ejere af fast ejendom fra </w:t>
      </w:r>
      <w:r w:rsidR="008A0C8C" w:rsidRPr="00AC5579">
        <w:t>det fælleskommunale Ejendomsstamregister (ESR)</w:t>
      </w:r>
      <w:r w:rsidRPr="00AC5579">
        <w:t xml:space="preserve"> og fra Tingbogen.</w:t>
      </w:r>
      <w:r w:rsidR="00A97EEC">
        <w:t xml:space="preserve"> </w:t>
      </w:r>
      <w:r w:rsidR="008F18D6">
        <w:t>Ejerfortegnelsen anvender Tingbogens funktionalitet, men er ikke en del af tinglysningssystemet.</w:t>
      </w:r>
      <w:r w:rsidR="00816C23">
        <w:t xml:space="preserve"> </w:t>
      </w:r>
      <w:r w:rsidR="001D4279">
        <w:t>E</w:t>
      </w:r>
      <w:r w:rsidR="001B323A" w:rsidRPr="00E72C3F">
        <w:t xml:space="preserve">jerfortegnelsen </w:t>
      </w:r>
      <w:r w:rsidR="001D4279">
        <w:t xml:space="preserve">indeholder oplysninger om </w:t>
      </w:r>
      <w:r w:rsidR="001B323A" w:rsidRPr="00E72C3F">
        <w:t>den eller de personer</w:t>
      </w:r>
      <w:r w:rsidR="001B323A">
        <w:t>/virksomheder</w:t>
      </w:r>
      <w:r w:rsidR="0083164D">
        <w:t>, som faktisk råder over en fast ejendom og h</w:t>
      </w:r>
      <w:r w:rsidR="001B323A" w:rsidRPr="00E72C3F">
        <w:t xml:space="preserve">vortil meddelelser vedrørende </w:t>
      </w:r>
      <w:r w:rsidR="0083164D">
        <w:t>ejendommen,</w:t>
      </w:r>
      <w:r w:rsidR="001B323A" w:rsidRPr="00E72C3F">
        <w:t xml:space="preserve"> med frigørende virkning, kan sendes. </w:t>
      </w:r>
    </w:p>
    <w:p w:rsidR="00F50130" w:rsidRDefault="00F50130" w:rsidP="00DA1678">
      <w:pPr>
        <w:rPr>
          <w:b/>
        </w:rPr>
      </w:pPr>
    </w:p>
    <w:p w:rsidR="00857BC4" w:rsidRPr="00AC5579" w:rsidRDefault="00857BC4" w:rsidP="00DA1678">
      <w:r w:rsidRPr="00AC5579">
        <w:rPr>
          <w:b/>
        </w:rPr>
        <w:t>ESR</w:t>
      </w:r>
      <w:r w:rsidRPr="00AC5579">
        <w:t xml:space="preserve"> (Ejendomsstamregisteret) består af en registerdel og en ejendomsskattedel. Registerdelen </w:t>
      </w:r>
      <w:r w:rsidR="009E6442" w:rsidRPr="00AC5579">
        <w:t>indeholder den</w:t>
      </w:r>
      <w:r w:rsidRPr="00AC5579">
        <w:t xml:space="preserve"> </w:t>
      </w:r>
      <w:r w:rsidR="009E6442" w:rsidRPr="00AC5579">
        <w:t xml:space="preserve">mest </w:t>
      </w:r>
      <w:r w:rsidRPr="00AC5579">
        <w:t xml:space="preserve">komplette </w:t>
      </w:r>
      <w:r w:rsidR="009E6442" w:rsidRPr="00AC5579">
        <w:t xml:space="preserve">og ajourførte fortegnelse over landets faste ejendomme og deres ejere. ESR ajourføres løbende med oplysninger fra </w:t>
      </w:r>
      <w:r w:rsidR="00DE2785">
        <w:t>GST</w:t>
      </w:r>
      <w:r w:rsidR="00FE1CDA" w:rsidRPr="00AC5579">
        <w:t xml:space="preserve"> (jordstykker</w:t>
      </w:r>
      <w:r w:rsidR="009E6442" w:rsidRPr="00AC5579">
        <w:t>)</w:t>
      </w:r>
      <w:r w:rsidR="00BC236B" w:rsidRPr="00AC5579">
        <w:t>,</w:t>
      </w:r>
      <w:r w:rsidR="009E6442" w:rsidRPr="00AC5579">
        <w:t xml:space="preserve"> Tinglysningsretten (ejerlejligheder og ejerskifter) samt den kommunale administration</w:t>
      </w:r>
      <w:r w:rsidR="00FE1CDA" w:rsidRPr="00AC5579">
        <w:t xml:space="preserve"> (bygninger på fremmed grund og ejerskifter)</w:t>
      </w:r>
      <w:r w:rsidR="009E6442" w:rsidRPr="00AC5579">
        <w:t xml:space="preserve">.  </w:t>
      </w:r>
    </w:p>
    <w:p w:rsidR="00DA1678" w:rsidRPr="00AC5579" w:rsidRDefault="00DA1678" w:rsidP="003A0904">
      <w:pPr>
        <w:rPr>
          <w:u w:val="single"/>
        </w:rPr>
      </w:pPr>
    </w:p>
    <w:p w:rsidR="00697D8D" w:rsidRPr="00AC5579" w:rsidRDefault="00697D8D" w:rsidP="00697D8D">
      <w:pPr>
        <w:pStyle w:val="Overskrift2"/>
        <w:rPr>
          <w:lang w:val="da-DK"/>
        </w:rPr>
      </w:pPr>
      <w:bookmarkStart w:id="16" w:name="_Toc341024630"/>
      <w:r w:rsidRPr="00AC5579">
        <w:rPr>
          <w:lang w:val="da-DK"/>
        </w:rPr>
        <w:t>Den forretningsmæssige begrundelse for programmet</w:t>
      </w:r>
      <w:bookmarkEnd w:id="16"/>
    </w:p>
    <w:p w:rsidR="00697D8D" w:rsidRPr="00AC5579" w:rsidRDefault="00697D8D" w:rsidP="00697D8D">
      <w:pPr>
        <w:pStyle w:val="Overskrift3"/>
      </w:pPr>
      <w:bookmarkStart w:id="17" w:name="_Toc278529874"/>
      <w:bookmarkStart w:id="18" w:name="_Toc341024631"/>
      <w:bookmarkStart w:id="19" w:name="_Toc278529872"/>
      <w:r w:rsidRPr="00AC5579">
        <w:t>Den fremtidige situation efter indførelse af løsningen</w:t>
      </w:r>
      <w:bookmarkEnd w:id="17"/>
      <w:bookmarkEnd w:id="18"/>
      <w:r w:rsidRPr="00AC5579">
        <w:t xml:space="preserve"> </w:t>
      </w:r>
    </w:p>
    <w:p w:rsidR="00FE1CDA" w:rsidRPr="00AC5579" w:rsidRDefault="00F21AE3" w:rsidP="0075338C">
      <w:r w:rsidRPr="00AC5579">
        <w:t xml:space="preserve">Når programmet er gennemført vil behandling og registrering af ejendomme i Danmark basere sig på et </w:t>
      </w:r>
      <w:r w:rsidR="0005092A" w:rsidRPr="00AC5579">
        <w:t>sammenhængende</w:t>
      </w:r>
      <w:r w:rsidRPr="00AC5579">
        <w:t xml:space="preserve"> og ensartet grundlag</w:t>
      </w:r>
      <w:r w:rsidR="0010747A" w:rsidRPr="00AC5579">
        <w:t xml:space="preserve">, idet </w:t>
      </w:r>
      <w:r w:rsidR="0005092A" w:rsidRPr="00AC5579">
        <w:t xml:space="preserve">ejendomsområdets grunddata findes i </w:t>
      </w:r>
      <w:r w:rsidR="0010747A" w:rsidRPr="00AC5579">
        <w:t xml:space="preserve"> </w:t>
      </w:r>
      <w:r w:rsidR="0005092A" w:rsidRPr="00AC5579">
        <w:t xml:space="preserve">de </w:t>
      </w:r>
      <w:r w:rsidR="0010747A" w:rsidRPr="00AC5579">
        <w:t>autoritative registre</w:t>
      </w:r>
      <w:r w:rsidR="0005092A" w:rsidRPr="00AC5579">
        <w:t>, nemlig</w:t>
      </w:r>
      <w:r w:rsidR="0010747A" w:rsidRPr="00AC5579">
        <w:t xml:space="preserve"> Matriklen og Bygnings- og Boligregistret </w:t>
      </w:r>
      <w:r w:rsidR="00586775" w:rsidRPr="00AC5579">
        <w:t xml:space="preserve">og den nye </w:t>
      </w:r>
      <w:r w:rsidR="0005092A" w:rsidRPr="00AC5579">
        <w:t xml:space="preserve">fortegnelse over ejendomsejere (Ejerfortegnelsen) </w:t>
      </w:r>
      <w:r w:rsidR="00A225DB">
        <w:t>i tilknytning til</w:t>
      </w:r>
      <w:r w:rsidR="00A225DB" w:rsidRPr="00AC5579">
        <w:t xml:space="preserve"> </w:t>
      </w:r>
      <w:r w:rsidR="0005092A" w:rsidRPr="00AC5579">
        <w:t>Tingbogen</w:t>
      </w:r>
      <w:r w:rsidRPr="00AC5579">
        <w:t>.</w:t>
      </w:r>
      <w:r w:rsidR="0005092A" w:rsidRPr="00AC5579">
        <w:t xml:space="preserve"> </w:t>
      </w:r>
      <w:r w:rsidR="00591A67" w:rsidRPr="00AC5579">
        <w:t>Offentlige og private dataanvendere får adgang til</w:t>
      </w:r>
      <w:r w:rsidR="0082191A" w:rsidRPr="00AC5579">
        <w:t xml:space="preserve"> harmoniserede</w:t>
      </w:r>
      <w:r w:rsidR="00591A67" w:rsidRPr="00AC5579">
        <w:t xml:space="preserve"> ejendoms- og bygningsdata via den fællesoffentlige datafordeler.</w:t>
      </w:r>
    </w:p>
    <w:p w:rsidR="00FE1CDA" w:rsidRPr="00AC5579" w:rsidRDefault="00FE1CDA" w:rsidP="0075338C"/>
    <w:p w:rsidR="00FE1CDA" w:rsidRPr="00AC5579" w:rsidRDefault="00FE1CDA" w:rsidP="0075338C">
      <w:r w:rsidRPr="00AC5579">
        <w:t xml:space="preserve">Matriklen </w:t>
      </w:r>
      <w:r w:rsidR="00984B03" w:rsidRPr="00AC5579">
        <w:t xml:space="preserve">får tilført oplysninger om ejerlejligheder og bygninger på fremmed grund og vil herefter </w:t>
      </w:r>
      <w:r w:rsidR="001E5F2A" w:rsidRPr="00AC5579">
        <w:t>indeholde</w:t>
      </w:r>
      <w:r w:rsidRPr="00AC5579">
        <w:t xml:space="preserve"> oplysninger om </w:t>
      </w:r>
      <w:r w:rsidR="00984B03" w:rsidRPr="00AC5579">
        <w:t xml:space="preserve">alle </w:t>
      </w:r>
      <w:r w:rsidRPr="00AC5579">
        <w:t>landets faste ejendomme</w:t>
      </w:r>
      <w:r w:rsidR="00272C96" w:rsidRPr="00AC5579">
        <w:t xml:space="preserve">, registreret på en ensartet måde under et fælles ejendomsbegreb. </w:t>
      </w:r>
      <w:r w:rsidR="008E16FE" w:rsidRPr="00AC5579">
        <w:t>Desuden registreres i tilknytning til Matriklen ejendomme, der er under tilblivelse.</w:t>
      </w:r>
    </w:p>
    <w:p w:rsidR="00FE1CDA" w:rsidRPr="00AC5579" w:rsidRDefault="00FE1CDA" w:rsidP="0075338C"/>
    <w:p w:rsidR="00FE1CDA" w:rsidRPr="00AC5579" w:rsidRDefault="00FE1CDA" w:rsidP="0075338C">
      <w:r w:rsidRPr="00AC5579">
        <w:t>BBR vil som i dag indeholde oplysninger om samtlige bygninger/boliger med reference til Matriklens registrering af</w:t>
      </w:r>
      <w:r w:rsidR="00272C96" w:rsidRPr="00AC5579">
        <w:t xml:space="preserve"> den</w:t>
      </w:r>
      <w:r w:rsidRPr="00AC5579">
        <w:t xml:space="preserve"> </w:t>
      </w:r>
      <w:r w:rsidR="00272C96" w:rsidRPr="00AC5579">
        <w:t>ejendom</w:t>
      </w:r>
      <w:r w:rsidRPr="00AC5579">
        <w:t xml:space="preserve">, som bygningen/boligen tilhører. </w:t>
      </w:r>
    </w:p>
    <w:p w:rsidR="0010747A" w:rsidRPr="00AC5579" w:rsidRDefault="0010747A" w:rsidP="0075338C"/>
    <w:p w:rsidR="008E16FE" w:rsidRPr="00AC5579" w:rsidRDefault="00FE1CDA" w:rsidP="0075338C">
      <w:r w:rsidRPr="00E72C3F">
        <w:t>Ti</w:t>
      </w:r>
      <w:r w:rsidR="001E5F2A" w:rsidRPr="00E72C3F">
        <w:t>ngbogen vil som i dag indeholde</w:t>
      </w:r>
      <w:r w:rsidRPr="00E72C3F">
        <w:t xml:space="preserve"> oplysninger om de</w:t>
      </w:r>
      <w:r w:rsidR="008E16FE" w:rsidRPr="00E72C3F">
        <w:t xml:space="preserve"> rettigheder, der er tinglyst på ejendommen. Registreringen af rettigheder</w:t>
      </w:r>
      <w:r w:rsidR="001E5F2A" w:rsidRPr="00E72C3F">
        <w:t xml:space="preserve"> som vedrører </w:t>
      </w:r>
      <w:r w:rsidR="008E16FE" w:rsidRPr="00E72C3F">
        <w:t xml:space="preserve">ejendomme, der findes i matriklen, </w:t>
      </w:r>
      <w:r w:rsidR="001E5F2A" w:rsidRPr="00E72C3F">
        <w:t xml:space="preserve">sker </w:t>
      </w:r>
      <w:r w:rsidR="008E16FE" w:rsidRPr="00E72C3F">
        <w:t>på grundlag af Matriklens oplysninger</w:t>
      </w:r>
      <w:r w:rsidR="008E16FE" w:rsidRPr="00AC5579">
        <w:t>.</w:t>
      </w:r>
      <w:r w:rsidR="00816C23">
        <w:t xml:space="preserve"> </w:t>
      </w:r>
      <w:r w:rsidR="00115C65">
        <w:t>[</w:t>
      </w:r>
      <w:r w:rsidR="00957E49" w:rsidRPr="002035A0">
        <w:rPr>
          <w:i/>
        </w:rPr>
        <w:t>Sekr</w:t>
      </w:r>
      <w:r w:rsidR="001B323A" w:rsidRPr="002035A0">
        <w:rPr>
          <w:i/>
        </w:rPr>
        <w:t>.</w:t>
      </w:r>
      <w:r w:rsidR="002035A0">
        <w:rPr>
          <w:i/>
        </w:rPr>
        <w:t>,</w:t>
      </w:r>
      <w:r w:rsidR="001B323A">
        <w:t xml:space="preserve"> D</w:t>
      </w:r>
      <w:r w:rsidR="00115C65">
        <w:t xml:space="preserve">er pågår afklaring af spørgsmålet om </w:t>
      </w:r>
      <w:r w:rsidR="00115C65" w:rsidRPr="00115C65">
        <w:t>Tingbogens</w:t>
      </w:r>
      <w:r w:rsidR="00767027">
        <w:t xml:space="preserve"> </w:t>
      </w:r>
      <w:r w:rsidR="00115C65" w:rsidRPr="00115C65">
        <w:t>rettighedsregistrering</w:t>
      </w:r>
      <w:r w:rsidR="00767027">
        <w:t xml:space="preserve"> kan ske på Matriklens oplysninger, eller om de</w:t>
      </w:r>
      <w:r w:rsidR="00957E49">
        <w:t xml:space="preserve">n </w:t>
      </w:r>
      <w:r w:rsidR="00767027">
        <w:t>skal ske på grundlag af Tingbogens egen ejendomsregistrering</w:t>
      </w:r>
      <w:r w:rsidR="00115C65">
        <w:t>]</w:t>
      </w:r>
      <w:r w:rsidR="00272C96" w:rsidRPr="00AC5579">
        <w:t xml:space="preserve"> I tilknytning til Tingbogen etableres Ejerfortegnelsen, som indeholder ajourførte oplysninger om landets ejendomsejere.</w:t>
      </w:r>
    </w:p>
    <w:p w:rsidR="0082191A" w:rsidRPr="00AC5579" w:rsidRDefault="008E16FE" w:rsidP="0075338C">
      <w:r w:rsidRPr="00AC5579">
        <w:t xml:space="preserve"> </w:t>
      </w:r>
    </w:p>
    <w:p w:rsidR="0005092A" w:rsidRPr="00AC5579" w:rsidRDefault="0082191A" w:rsidP="0075338C">
      <w:r w:rsidRPr="00AC5579">
        <w:t>Kommunerne</w:t>
      </w:r>
      <w:r w:rsidR="00EF6B21" w:rsidRPr="00AC5579">
        <w:t>s</w:t>
      </w:r>
      <w:r w:rsidRPr="00AC5579">
        <w:t xml:space="preserve"> </w:t>
      </w:r>
      <w:r w:rsidR="00EF6B21" w:rsidRPr="00AC5579">
        <w:t>behov for at opretholde et selvstændigt ejendomsregister (ESR) bortfalder, fordi oplysninger om ejendomme og deres ejere bliver tilgængelige fra de</w:t>
      </w:r>
      <w:r w:rsidR="001E5F2A" w:rsidRPr="00AC5579">
        <w:t xml:space="preserve"> autoritative registre: Matriklen og Ejerfortegnelsen.</w:t>
      </w:r>
      <w:r w:rsidR="00EF6B21" w:rsidRPr="00AC5579">
        <w:t xml:space="preserve"> </w:t>
      </w:r>
      <w:r w:rsidR="000C6065" w:rsidRPr="00AC5579">
        <w:t xml:space="preserve">Kommunernes </w:t>
      </w:r>
      <w:r w:rsidR="00EB0BEB" w:rsidRPr="00AC5579">
        <w:t xml:space="preserve">udgifter til IT-udvikling og drift bliver </w:t>
      </w:r>
      <w:r w:rsidR="00EB0BEB" w:rsidRPr="00AC5579">
        <w:lastRenderedPageBreak/>
        <w:t>mindre, og der skal bruge</w:t>
      </w:r>
      <w:r w:rsidR="008A4CA6" w:rsidRPr="00AC5579">
        <w:t>s</w:t>
      </w:r>
      <w:r w:rsidR="00EB0BEB" w:rsidRPr="00AC5579">
        <w:t xml:space="preserve"> færre ressourcer til ejendoms</w:t>
      </w:r>
      <w:r w:rsidR="00984B03" w:rsidRPr="00AC5579">
        <w:t>skatteforvaltningen</w:t>
      </w:r>
      <w:r w:rsidR="00EB0BEB" w:rsidRPr="00AC5579">
        <w:t xml:space="preserve">, </w:t>
      </w:r>
      <w:r w:rsidR="000C6065" w:rsidRPr="00AC5579">
        <w:t xml:space="preserve">fordi </w:t>
      </w:r>
      <w:r w:rsidR="00EB0BEB" w:rsidRPr="00AC5579">
        <w:t>registreringsopgaver bortfalder. Disse gevinster indgår i programmets business case.</w:t>
      </w:r>
    </w:p>
    <w:p w:rsidR="0082191A" w:rsidRPr="00AC5579" w:rsidRDefault="0082191A" w:rsidP="0075338C"/>
    <w:p w:rsidR="00AF7D77" w:rsidRPr="00AC5579" w:rsidRDefault="000117BA" w:rsidP="0075338C">
      <w:r w:rsidRPr="00AC5579">
        <w:t xml:space="preserve">Det </w:t>
      </w:r>
      <w:r w:rsidR="0005092A" w:rsidRPr="00AC5579">
        <w:t>bliver</w:t>
      </w:r>
      <w:r w:rsidRPr="00AC5579">
        <w:t xml:space="preserve"> muligt at anvende og sammenholde oplysninger fra</w:t>
      </w:r>
      <w:r w:rsidR="0005092A" w:rsidRPr="00AC5579">
        <w:t xml:space="preserve"> grunddata</w:t>
      </w:r>
      <w:r w:rsidRPr="00AC5579">
        <w:t>regist</w:t>
      </w:r>
      <w:r w:rsidR="0005092A" w:rsidRPr="00AC5579">
        <w:t xml:space="preserve">rene </w:t>
      </w:r>
      <w:r w:rsidRPr="00AC5579">
        <w:t>direkte</w:t>
      </w:r>
      <w:r w:rsidR="008A4CA6" w:rsidRPr="00AC5579">
        <w:t>. I</w:t>
      </w:r>
      <w:r w:rsidRPr="00AC5579">
        <w:t xml:space="preserve"> modsætning til i dag, hvor </w:t>
      </w:r>
      <w:r w:rsidR="0005092A" w:rsidRPr="00AC5579">
        <w:t>det</w:t>
      </w:r>
      <w:r w:rsidR="00AF7D77" w:rsidRPr="00AC5579">
        <w:t xml:space="preserve"> kræver </w:t>
      </w:r>
      <w:r w:rsidR="0005092A" w:rsidRPr="00AC5579">
        <w:t>en betydelige</w:t>
      </w:r>
      <w:r w:rsidR="00AF7D77" w:rsidRPr="00AC5579">
        <w:t xml:space="preserve"> ressourcer og manuelle processer</w:t>
      </w:r>
      <w:r w:rsidR="0005092A" w:rsidRPr="00AC5579">
        <w:t xml:space="preserve"> at sammenstille ejendomsoplysninger korrekt</w:t>
      </w:r>
      <w:r w:rsidR="00AF7D77" w:rsidRPr="00AC5579">
        <w:t>.</w:t>
      </w:r>
    </w:p>
    <w:p w:rsidR="0082191A" w:rsidRPr="00AC5579" w:rsidRDefault="0082191A" w:rsidP="0075338C"/>
    <w:p w:rsidR="0005092A" w:rsidRPr="00AC5579" w:rsidRDefault="00AF7D77" w:rsidP="0075338C">
      <w:r w:rsidRPr="00AC5579">
        <w:t>Alle offentlige og private pa</w:t>
      </w:r>
      <w:r w:rsidR="0005092A" w:rsidRPr="00AC5579">
        <w:t>r</w:t>
      </w:r>
      <w:r w:rsidRPr="00AC5579">
        <w:t>ter der i dag anvender ejendomsdata i forvaltning og forretning, (f.eks. ved skatteopkrævning, tilskudssager, ejendomshandel og belåning) vil derfor opleve at relevante oplysninger om fast ejendom er registreret og tilgængelige på en enkel, tidssvarende og sammenhængende måde.</w:t>
      </w:r>
    </w:p>
    <w:p w:rsidR="00F21AE3" w:rsidRPr="00AC5579" w:rsidRDefault="00F21AE3" w:rsidP="0075338C"/>
    <w:p w:rsidR="00697D8D" w:rsidRPr="00AC5579" w:rsidRDefault="00697D8D" w:rsidP="00697D8D">
      <w:pPr>
        <w:pStyle w:val="Overskrift3"/>
      </w:pPr>
      <w:bookmarkStart w:id="20" w:name="_Toc341024632"/>
      <w:r w:rsidRPr="00AC5579">
        <w:t>Den nuværende situation</w:t>
      </w:r>
      <w:bookmarkEnd w:id="19"/>
      <w:bookmarkEnd w:id="20"/>
      <w:r w:rsidRPr="00AC5579">
        <w:t xml:space="preserve"> </w:t>
      </w:r>
    </w:p>
    <w:p w:rsidR="00341F0C" w:rsidRPr="00AC5579" w:rsidRDefault="00341F0C" w:rsidP="00341F0C">
      <w:r w:rsidRPr="00AC5579">
        <w:t>Som det er i dag registres de s</w:t>
      </w:r>
      <w:r w:rsidR="00984B03" w:rsidRPr="00AC5579">
        <w:t xml:space="preserve">amme </w:t>
      </w:r>
      <w:r w:rsidR="00F57F25" w:rsidRPr="00AC5579">
        <w:t>ejendomsoplysninger</w:t>
      </w:r>
      <w:r w:rsidR="00984B03" w:rsidRPr="00AC5579">
        <w:t xml:space="preserve"> </w:t>
      </w:r>
      <w:r w:rsidR="00F57F25" w:rsidRPr="00AC5579">
        <w:t xml:space="preserve">flere gange i de </w:t>
      </w:r>
      <w:r w:rsidRPr="00AC5579">
        <w:t xml:space="preserve">forskellige registre: Matriklen, Tingbog, ESR og BBR. Da </w:t>
      </w:r>
      <w:r w:rsidR="00F471FB">
        <w:t>regi</w:t>
      </w:r>
      <w:r w:rsidR="008A4CA6" w:rsidRPr="00AC5579">
        <w:t>st</w:t>
      </w:r>
      <w:r w:rsidR="00F471FB">
        <w:t>re</w:t>
      </w:r>
      <w:r w:rsidR="008A4CA6" w:rsidRPr="00AC5579">
        <w:t>nes</w:t>
      </w:r>
      <w:r w:rsidR="00F57F25" w:rsidRPr="00AC5579">
        <w:t xml:space="preserve"> </w:t>
      </w:r>
      <w:r w:rsidRPr="00AC5579">
        <w:t xml:space="preserve">lovmæssige </w:t>
      </w:r>
      <w:r w:rsidR="00F57F25" w:rsidRPr="00AC5579">
        <w:t xml:space="preserve">grundlag </w:t>
      </w:r>
      <w:r w:rsidR="00F54506" w:rsidRPr="00AC5579">
        <w:t>er</w:t>
      </w:r>
      <w:r w:rsidR="00F57F25" w:rsidRPr="00AC5579">
        <w:t xml:space="preserve"> forskelligt,</w:t>
      </w:r>
      <w:r w:rsidRPr="00AC5579">
        <w:t xml:space="preserve"> sker registreringerne i forhold til den forståelsesramme og det begrebsapparat, som </w:t>
      </w:r>
      <w:r w:rsidR="00F54506" w:rsidRPr="00AC5579">
        <w:t>den pågældende lovgivning</w:t>
      </w:r>
      <w:r w:rsidRPr="00AC5579">
        <w:t xml:space="preserve"> definerer. </w:t>
      </w:r>
    </w:p>
    <w:p w:rsidR="00341F0C" w:rsidRPr="00AC5579" w:rsidRDefault="00341F0C" w:rsidP="005F1F35"/>
    <w:p w:rsidR="00F21AE3" w:rsidRPr="00AC5579" w:rsidRDefault="00AF7D77" w:rsidP="0075338C">
      <w:r w:rsidRPr="00AC5579">
        <w:t>Den nuværende r</w:t>
      </w:r>
      <w:r w:rsidR="00EB0BEB" w:rsidRPr="00AC5579">
        <w:t>e</w:t>
      </w:r>
      <w:r w:rsidRPr="00AC5579">
        <w:t xml:space="preserve">gistrering og anvendelse af ejendomsoplysninger afspejler, at hver enkelt sektor/myndighedsområde oprindeligt udviklede systemer og arbejdsgange, der passede til egne behov. </w:t>
      </w:r>
      <w:r w:rsidR="00036170" w:rsidRPr="00AC5579">
        <w:t xml:space="preserve">Systemerne er skabt, før det blev muligt at udveksle og sammenstille data fra mange forskellige kilder. </w:t>
      </w:r>
    </w:p>
    <w:p w:rsidR="00F54506" w:rsidRPr="00AC5579" w:rsidRDefault="00F54506" w:rsidP="0075338C"/>
    <w:p w:rsidR="00F54506" w:rsidRPr="00AC5579" w:rsidRDefault="00F54506" w:rsidP="00B4125E">
      <w:pPr>
        <w:jc w:val="left"/>
      </w:pPr>
      <w:r w:rsidRPr="00AC5579">
        <w:t>Derfor står ejendomsregistreringen i dag på et unødigt kompliceret fundament af da</w:t>
      </w:r>
      <w:r w:rsidR="00F57F25" w:rsidRPr="00AC5579">
        <w:t xml:space="preserve">ta fra forskellige registre og </w:t>
      </w:r>
      <w:r w:rsidRPr="00AC5579">
        <w:t xml:space="preserve">med hver deres definition af de samme begreber. Faktisk findes er der tre forskellige forståelser af begrebet fast ejendom, uden entydig sammenhæng begreberne imellem. Ejendomsregistreringen fungerer, men det kræver manuelle processer, skyggeregistreringer og genererer fejl. Det er hverken optimalt eller langtidsholdbart. </w:t>
      </w:r>
    </w:p>
    <w:p w:rsidR="00697D8D" w:rsidRPr="00AC5579" w:rsidRDefault="00697D8D" w:rsidP="00697D8D">
      <w:pPr>
        <w:pStyle w:val="MPBrdtekst"/>
        <w:rPr>
          <w:b/>
          <w:i/>
        </w:rPr>
      </w:pPr>
    </w:p>
    <w:p w:rsidR="00697D8D" w:rsidRPr="00AC5579" w:rsidRDefault="00697D8D" w:rsidP="00697D8D">
      <w:pPr>
        <w:pStyle w:val="Overskrift3"/>
      </w:pPr>
      <w:bookmarkStart w:id="21" w:name="_Toc278529873"/>
      <w:bookmarkStart w:id="22" w:name="_Toc341024633"/>
      <w:r w:rsidRPr="00AC5579">
        <w:t xml:space="preserve">Forretningens mål med </w:t>
      </w:r>
      <w:bookmarkEnd w:id="21"/>
      <w:r w:rsidRPr="00AC5579">
        <w:t>programmet</w:t>
      </w:r>
      <w:bookmarkEnd w:id="22"/>
      <w:r w:rsidRPr="00AC5579">
        <w:t xml:space="preserve"> </w:t>
      </w:r>
    </w:p>
    <w:p w:rsidR="0010747A" w:rsidRPr="00AC5579" w:rsidRDefault="0010747A" w:rsidP="0075338C">
      <w:r w:rsidRPr="00AC5579">
        <w:t xml:space="preserve">Gennemførsel af programmet vil </w:t>
      </w:r>
      <w:r w:rsidR="0017629B" w:rsidRPr="00AC5579">
        <w:t xml:space="preserve">være grundlaget for </w:t>
      </w:r>
      <w:r w:rsidRPr="00AC5579">
        <w:t>omfattende effektivisering</w:t>
      </w:r>
      <w:r w:rsidR="0017629B" w:rsidRPr="00AC5579">
        <w:t>er</w:t>
      </w:r>
      <w:r w:rsidRPr="00AC5579">
        <w:t xml:space="preserve"> </w:t>
      </w:r>
      <w:r w:rsidR="0017629B" w:rsidRPr="00AC5579">
        <w:t>af</w:t>
      </w:r>
      <w:r w:rsidRPr="00AC5579">
        <w:t xml:space="preserve"> alle områder i den offentlige og private sektor, der </w:t>
      </w:r>
      <w:r w:rsidR="004F5B5C" w:rsidRPr="00AC5579">
        <w:t>anven</w:t>
      </w:r>
      <w:r w:rsidR="00832896" w:rsidRPr="00AC5579">
        <w:t>der oplysninger om fast ejendom</w:t>
      </w:r>
      <w:r w:rsidR="004C7A00" w:rsidRPr="00AC5579">
        <w:t>. E</w:t>
      </w:r>
      <w:r w:rsidR="00832896" w:rsidRPr="00AC5579">
        <w:t xml:space="preserve">n lang række manuelle processer og arbejdsgange vil </w:t>
      </w:r>
      <w:r w:rsidR="004C7A00" w:rsidRPr="00AC5579">
        <w:t>forsvinde, fordi oplysningerne uden videre kan genbruges i komplekse digitale samspil.</w:t>
      </w:r>
    </w:p>
    <w:p w:rsidR="00D41D34" w:rsidRPr="00AC5579" w:rsidRDefault="00D41D34" w:rsidP="0075338C"/>
    <w:p w:rsidR="00D41D34" w:rsidRPr="00AC5579" w:rsidRDefault="00D41D34" w:rsidP="0075338C">
      <w:r w:rsidRPr="00AC5579">
        <w:t xml:space="preserve">Området vil samtidig opleve et kvalitetsløft, da de harmoniserede grunddata i de autoritative registre vil betyde færre fejlkilder i </w:t>
      </w:r>
      <w:r w:rsidR="00321AB3" w:rsidRPr="00AC5579">
        <w:t xml:space="preserve">processer relateret til </w:t>
      </w:r>
      <w:r w:rsidRPr="00AC5579">
        <w:t>fast ejendom.</w:t>
      </w:r>
    </w:p>
    <w:p w:rsidR="0010747A" w:rsidRPr="00AC5579" w:rsidRDefault="0010747A" w:rsidP="00697D8D">
      <w:pPr>
        <w:pStyle w:val="MPBrdtekst"/>
      </w:pPr>
    </w:p>
    <w:p w:rsidR="00697D8D" w:rsidRPr="00AC5579" w:rsidRDefault="00697D8D" w:rsidP="00697D8D">
      <w:pPr>
        <w:pStyle w:val="Overskrift3"/>
      </w:pPr>
      <w:bookmarkStart w:id="23" w:name="_Toc278529875"/>
      <w:bookmarkStart w:id="24" w:name="_Toc341024634"/>
      <w:r w:rsidRPr="00AC5579">
        <w:t>Situationen hvis ikke programmet ikke gennemføres</w:t>
      </w:r>
      <w:bookmarkEnd w:id="23"/>
      <w:bookmarkEnd w:id="24"/>
    </w:p>
    <w:p w:rsidR="00E41868" w:rsidRDefault="00E41868" w:rsidP="00B4125E">
      <w:r w:rsidRPr="00AC5579">
        <w:t xml:space="preserve">KL har </w:t>
      </w:r>
      <w:r w:rsidR="00117EEE" w:rsidRPr="00AC5579">
        <w:t xml:space="preserve">besluttet at udvikle et nyt IT-system til erstatning af det nuværende og </w:t>
      </w:r>
      <w:r w:rsidRPr="00B4125E">
        <w:t xml:space="preserve">forældede ESR. </w:t>
      </w:r>
      <w:r w:rsidRPr="00AC5579">
        <w:t>Sigtet er at forenkle og modernisere kommunernes arbejde med administration i relation til fast ejendom i Danmark og de øvrige opgaver kommunerne varetager med ESR som værktøj. Heri indgår tan</w:t>
      </w:r>
      <w:r w:rsidRPr="00AC5579">
        <w:softHyphen/>
        <w:t xml:space="preserve">ker om, at </w:t>
      </w:r>
      <w:r w:rsidRPr="00B4125E">
        <w:t>kommunerne skal tilgå grunddata i statslige registre</w:t>
      </w:r>
      <w:r w:rsidRPr="00AC5579">
        <w:t xml:space="preserve">. Det forventes at det nuværende ESR vil  kunne udfases </w:t>
      </w:r>
      <w:r w:rsidR="00A225DB">
        <w:t>i</w:t>
      </w:r>
      <w:r w:rsidR="00A225DB" w:rsidRPr="00AC5579">
        <w:t xml:space="preserve"> </w:t>
      </w:r>
      <w:r w:rsidRPr="00AC5579">
        <w:t>2017.</w:t>
      </w:r>
    </w:p>
    <w:p w:rsidR="00D8509F" w:rsidRPr="00AC5579" w:rsidRDefault="00D8509F" w:rsidP="00B4125E"/>
    <w:p w:rsidR="008D7A4D" w:rsidRPr="00AC5579" w:rsidRDefault="00E41868" w:rsidP="00B4125E">
      <w:r w:rsidRPr="00AC5579">
        <w:t>Hvis programmets ikke gennemføres</w:t>
      </w:r>
      <w:r w:rsidR="00117EEE" w:rsidRPr="00AC5579">
        <w:t xml:space="preserve">, </w:t>
      </w:r>
      <w:r w:rsidRPr="00AC5579">
        <w:t xml:space="preserve">vil </w:t>
      </w:r>
      <w:r w:rsidR="00117EEE" w:rsidRPr="00AC5579">
        <w:t>kommunerne ikke have adgang</w:t>
      </w:r>
      <w:r w:rsidR="003F27F1" w:rsidRPr="00AC5579">
        <w:t xml:space="preserve"> til harmoniserede ejendoms- og bygningsdata. </w:t>
      </w:r>
      <w:r w:rsidR="00D4431A" w:rsidRPr="00AC5579">
        <w:t>I</w:t>
      </w:r>
      <w:r w:rsidR="003F27F1" w:rsidRPr="00AC5579">
        <w:t>ngen af de nuværende statslige ejendomsregistre er komplette i forhold til at indeholde ajourførte oplysninger om samtlige faste ejendomme og deres ejere</w:t>
      </w:r>
      <w:r w:rsidR="00D4431A" w:rsidRPr="00AC5579">
        <w:t>. Derfor vil</w:t>
      </w:r>
      <w:r w:rsidR="003F27F1" w:rsidRPr="00AC5579">
        <w:t xml:space="preserve"> kommunerne være </w:t>
      </w:r>
      <w:r w:rsidR="00FC6133" w:rsidRPr="00AC5579">
        <w:t>tvunget</w:t>
      </w:r>
      <w:r w:rsidR="003F27F1" w:rsidRPr="00AC5579">
        <w:t xml:space="preserve"> til fortsætte skyggeregistreringen af disse oplysninger</w:t>
      </w:r>
      <w:r w:rsidR="00D4431A" w:rsidRPr="00AC5579">
        <w:t xml:space="preserve">, som i dag </w:t>
      </w:r>
      <w:r w:rsidR="00FC6133" w:rsidRPr="00AC5579">
        <w:t>foregår</w:t>
      </w:r>
      <w:r w:rsidR="00D4431A" w:rsidRPr="00AC5579">
        <w:t xml:space="preserve"> i ESRs registerdel</w:t>
      </w:r>
      <w:r w:rsidR="003F27F1" w:rsidRPr="00AC5579">
        <w:t xml:space="preserve">. KL </w:t>
      </w:r>
      <w:r w:rsidR="008D7A4D" w:rsidRPr="00AC5579">
        <w:t xml:space="preserve">bliver nødt til at </w:t>
      </w:r>
      <w:r w:rsidR="003F27F1" w:rsidRPr="00AC5579">
        <w:t xml:space="preserve">udvikle og drive et nyt kommunalt ejendomsregister til erstatning for ESRs registerdel. </w:t>
      </w:r>
      <w:r w:rsidR="008D7A4D" w:rsidRPr="00AC5579">
        <w:t>Konsekvensen bliver</w:t>
      </w:r>
      <w:r w:rsidR="00D4431A" w:rsidRPr="00AC5579">
        <w:t>,</w:t>
      </w:r>
      <w:r w:rsidR="008D7A4D" w:rsidRPr="00AC5579">
        <w:t xml:space="preserve"> at de gevinster, der er knyttet til bortfaldet af den kommunale skyggeregistrering ikke k</w:t>
      </w:r>
      <w:r w:rsidR="00F668E2" w:rsidRPr="00AC5579">
        <w:t>an realiseres</w:t>
      </w:r>
      <w:r w:rsidR="00FC6133" w:rsidRPr="00AC5579">
        <w:t>,</w:t>
      </w:r>
      <w:r w:rsidR="00F668E2" w:rsidRPr="00AC5579">
        <w:t xml:space="preserve"> og business casens forudsætninger ændres afgørende.</w:t>
      </w:r>
    </w:p>
    <w:p w:rsidR="00D8509F" w:rsidRDefault="00D8509F" w:rsidP="00B4125E"/>
    <w:p w:rsidR="00E41868" w:rsidRPr="00AC5579" w:rsidRDefault="00D8509F" w:rsidP="00B4125E">
      <w:r>
        <w:t xml:space="preserve">Tankerne om en samlet modernisering af ejendomsregistreringen er ikke nye, men realiseringen heraf har lidt under manglen på initiativ til at tage det første skridt. </w:t>
      </w:r>
      <w:r w:rsidR="00AA35B1">
        <w:t>KL’s beslutning om at afvikle det nuværende E</w:t>
      </w:r>
      <w:r w:rsidR="002D54B9">
        <w:t>SR har skabt en unik situation</w:t>
      </w:r>
      <w:r w:rsidR="001B5F0E">
        <w:t xml:space="preserve">, som </w:t>
      </w:r>
      <w:r w:rsidR="00A72D9B">
        <w:t xml:space="preserve">tvinger </w:t>
      </w:r>
      <w:r>
        <w:t>ejendomsområdets øvrige aktører</w:t>
      </w:r>
      <w:r w:rsidR="00A72D9B">
        <w:t xml:space="preserve"> til at agere, herunder SKAT.</w:t>
      </w:r>
      <w:r w:rsidR="001B5F0E">
        <w:t xml:space="preserve">  </w:t>
      </w:r>
      <w:r w:rsidR="00A62431">
        <w:t xml:space="preserve">Beslutningen om en samlet modernisering af ejendomsdataområdet kan ikke udsættes, fordi </w:t>
      </w:r>
      <w:r w:rsidR="001B5F0E">
        <w:t xml:space="preserve"> </w:t>
      </w:r>
      <w:r w:rsidR="00A62431">
        <w:t>det er netop nu moderniseringsgevinsterne kan realiseres.</w:t>
      </w:r>
      <w:r w:rsidR="001B5F0E">
        <w:t xml:space="preserve"> </w:t>
      </w:r>
      <w:r w:rsidR="00D4431A" w:rsidRPr="00AC5579">
        <w:t>Det</w:t>
      </w:r>
      <w:r w:rsidR="008D7A4D" w:rsidRPr="00AC5579">
        <w:t xml:space="preserve"> vil vare mange år før en tilsvarende situation vil opstå igen.</w:t>
      </w:r>
      <w:r w:rsidR="00F668E2" w:rsidRPr="00AC5579">
        <w:t xml:space="preserve"> </w:t>
      </w:r>
    </w:p>
    <w:p w:rsidR="00D8509F" w:rsidRDefault="00D8509F" w:rsidP="00B4125E"/>
    <w:p w:rsidR="008B6E13" w:rsidRPr="00AC5579" w:rsidRDefault="00D8509F" w:rsidP="00B4125E">
      <w:r>
        <w:t>Såfremt</w:t>
      </w:r>
      <w:r w:rsidR="008B6E13" w:rsidRPr="00AC5579">
        <w:t xml:space="preserve"> programmet ikke gennemføres, </w:t>
      </w:r>
      <w:r w:rsidR="00F668E2" w:rsidRPr="00AC5579">
        <w:t>er</w:t>
      </w:r>
      <w:r w:rsidR="008B6E13" w:rsidRPr="00AC5579">
        <w:t xml:space="preserve"> der risiko for, at hver myndighed laver deres egne ”forbedringer” ad ho</w:t>
      </w:r>
      <w:r w:rsidR="00F668E2" w:rsidRPr="00AC5579">
        <w:t>c</w:t>
      </w:r>
      <w:r w:rsidR="006D586A" w:rsidRPr="00AC5579">
        <w:t xml:space="preserve">, så </w:t>
      </w:r>
      <w:r w:rsidR="00F668E2" w:rsidRPr="00AC5579">
        <w:t xml:space="preserve">begreberne ikke harmoniseres på tværs, hvorfor </w:t>
      </w:r>
      <w:r w:rsidR="006D586A" w:rsidRPr="00AC5579">
        <w:t>it-systemer ikke kommer til at spille ordentligt sammen</w:t>
      </w:r>
      <w:r w:rsidR="00140B7D" w:rsidRPr="00AC5579">
        <w:t>.</w:t>
      </w:r>
    </w:p>
    <w:p w:rsidR="003A0904" w:rsidRPr="00AC5579" w:rsidRDefault="00F9542E" w:rsidP="003A0904">
      <w:pPr>
        <w:pStyle w:val="Overskrift2"/>
        <w:rPr>
          <w:lang w:val="da-DK"/>
        </w:rPr>
      </w:pPr>
      <w:bookmarkStart w:id="25" w:name="_Toc332900408"/>
      <w:bookmarkStart w:id="26" w:name="_Toc333334352"/>
      <w:bookmarkStart w:id="27" w:name="_Toc332900409"/>
      <w:bookmarkStart w:id="28" w:name="_Toc333334353"/>
      <w:bookmarkStart w:id="29" w:name="_Toc341024635"/>
      <w:bookmarkEnd w:id="25"/>
      <w:bookmarkEnd w:id="26"/>
      <w:bookmarkEnd w:id="27"/>
      <w:bookmarkEnd w:id="28"/>
      <w:r w:rsidRPr="00AC5579">
        <w:rPr>
          <w:lang w:val="da-DK"/>
        </w:rPr>
        <w:t>Programmets b</w:t>
      </w:r>
      <w:r w:rsidR="003A0904" w:rsidRPr="00AC5579">
        <w:rPr>
          <w:lang w:val="da-DK"/>
        </w:rPr>
        <w:t>aggrund</w:t>
      </w:r>
      <w:bookmarkEnd w:id="29"/>
    </w:p>
    <w:p w:rsidR="00260F2B" w:rsidRPr="00AC5579" w:rsidRDefault="003F3DFB" w:rsidP="003A0904">
      <w:r w:rsidRPr="00AC5579">
        <w:t xml:space="preserve">I regi af </w:t>
      </w:r>
      <w:r w:rsidR="000309D0" w:rsidRPr="00AC5579">
        <w:t>programmet om grunddata for vækst og effektivisering (Grunddata</w:t>
      </w:r>
      <w:r w:rsidRPr="00AC5579">
        <w:t>programmet</w:t>
      </w:r>
      <w:r w:rsidR="000309D0" w:rsidRPr="00AC5579">
        <w:t>)</w:t>
      </w:r>
      <w:r w:rsidRPr="00AC5579">
        <w:t xml:space="preserve"> under den Fællesoffentlige Dig</w:t>
      </w:r>
      <w:r w:rsidR="00697468">
        <w:t>italiseringsstrategi 2011 – 2015</w:t>
      </w:r>
      <w:r w:rsidRPr="00AC5579">
        <w:t xml:space="preserve"> er der indgået en </w:t>
      </w:r>
      <w:r w:rsidR="000309D0" w:rsidRPr="00AC5579">
        <w:t>del</w:t>
      </w:r>
      <w:r w:rsidRPr="00AC5579">
        <w:t xml:space="preserve">aftale om </w:t>
      </w:r>
      <w:r w:rsidRPr="00AC5579">
        <w:rPr>
          <w:i/>
        </w:rPr>
        <w:t>Effektivisering af ejendomsregistrering og genbrug af ejendomsdata</w:t>
      </w:r>
      <w:r w:rsidRPr="00AC5579">
        <w:t xml:space="preserve"> (herefter benævnt: </w:t>
      </w:r>
      <w:r w:rsidRPr="00AC5579">
        <w:rPr>
          <w:i/>
        </w:rPr>
        <w:t>aftalen</w:t>
      </w:r>
      <w:r w:rsidRPr="00AC5579">
        <w:t xml:space="preserve">). </w:t>
      </w:r>
      <w:r w:rsidR="008A4CA6" w:rsidRPr="00AC5579">
        <w:t xml:space="preserve"> </w:t>
      </w:r>
      <w:r w:rsidR="000309D0" w:rsidRPr="00AC5579">
        <w:t xml:space="preserve">Aftalen </w:t>
      </w:r>
      <w:r w:rsidR="0041042C" w:rsidRPr="00AC5579">
        <w:t>beskriver</w:t>
      </w:r>
      <w:r w:rsidR="00864301" w:rsidRPr="00AC5579">
        <w:t xml:space="preserve"> overordnet hvilke aktiviteter der skal gennemføres som en konsekvens af beslutningen om </w:t>
      </w:r>
      <w:r w:rsidR="005238DD" w:rsidRPr="00AC5579">
        <w:t>modernisering af ej</w:t>
      </w:r>
      <w:r w:rsidR="00091759" w:rsidRPr="00AC5579">
        <w:t>e</w:t>
      </w:r>
      <w:r w:rsidR="005238DD" w:rsidRPr="00AC5579">
        <w:t>ndomsregistreringen.</w:t>
      </w:r>
      <w:r w:rsidR="00333750" w:rsidRPr="00AC5579">
        <w:t xml:space="preserve"> Udover </w:t>
      </w:r>
      <w:r w:rsidR="00260F2B" w:rsidRPr="00AC5579">
        <w:t>aktiviteter</w:t>
      </w:r>
      <w:r w:rsidR="00C43677" w:rsidRPr="00AC5579">
        <w:t>,</w:t>
      </w:r>
      <w:r w:rsidR="00260F2B" w:rsidRPr="00AC5579">
        <w:t xml:space="preserve"> der skal sikre at ejendomsregistrene er fagligt og teknisk up-to-date</w:t>
      </w:r>
      <w:r w:rsidR="00C43677" w:rsidRPr="00AC5579">
        <w:t>,</w:t>
      </w:r>
      <w:r w:rsidR="00260F2B" w:rsidRPr="00AC5579">
        <w:t xml:space="preserve"> fastlægger aftalen også konkrete ændringer i fordelingen af opgaver i relation til den </w:t>
      </w:r>
      <w:r w:rsidR="00C43677" w:rsidRPr="00AC5579">
        <w:t xml:space="preserve">fremtidige registrering af </w:t>
      </w:r>
      <w:r w:rsidR="00260F2B" w:rsidRPr="00AC5579">
        <w:t>g</w:t>
      </w:r>
      <w:r w:rsidR="00C43677" w:rsidRPr="00AC5579">
        <w:t>runddata</w:t>
      </w:r>
      <w:r w:rsidR="00260F2B" w:rsidRPr="00AC5579">
        <w:t>.</w:t>
      </w:r>
    </w:p>
    <w:p w:rsidR="00091759" w:rsidRPr="00AC5579" w:rsidRDefault="00091759" w:rsidP="003A0904"/>
    <w:p w:rsidR="00A62431" w:rsidRPr="00B4125E" w:rsidRDefault="00091759" w:rsidP="00A62431">
      <w:r w:rsidRPr="00AC5579">
        <w:t>Som en del af det forberedende arbejde har aftaleparterne</w:t>
      </w:r>
      <w:r w:rsidR="0041042C" w:rsidRPr="00AC5579">
        <w:t xml:space="preserve"> med udgangspunkt i fælles  analyser</w:t>
      </w:r>
      <w:r w:rsidRPr="00AC5579">
        <w:t xml:space="preserve"> </w:t>
      </w:r>
      <w:r w:rsidR="00697468">
        <w:t xml:space="preserve">af </w:t>
      </w:r>
      <w:r w:rsidRPr="00AC5579">
        <w:t>de nuværende arbejdspro</w:t>
      </w:r>
      <w:r w:rsidR="0041042C" w:rsidRPr="00AC5579">
        <w:t xml:space="preserve">cesser og infrastruktur udarbejdet scenarier </w:t>
      </w:r>
      <w:r w:rsidR="000A5951" w:rsidRPr="00AC5579">
        <w:t>og overordnet specificeret</w:t>
      </w:r>
      <w:r w:rsidR="0041042C" w:rsidRPr="00AC5579">
        <w:t xml:space="preserve"> fremtidige processer og infrastruktur</w:t>
      </w:r>
      <w:r w:rsidR="00622E09">
        <w:t xml:space="preserve">. </w:t>
      </w:r>
      <w:r w:rsidR="00A62431" w:rsidRPr="00B4125E">
        <w:t xml:space="preserve">Se p. </w:t>
      </w:r>
      <w:r w:rsidR="00A62431" w:rsidRPr="00B4125E">
        <w:fldChar w:fldCharType="begin"/>
      </w:r>
      <w:r w:rsidR="00A62431" w:rsidRPr="00B4125E">
        <w:instrText xml:space="preserve"> PAGEREF _Ref340584951 \h </w:instrText>
      </w:r>
      <w:r w:rsidR="00A62431" w:rsidRPr="00B4125E">
        <w:fldChar w:fldCharType="separate"/>
      </w:r>
      <w:r w:rsidR="0091000E">
        <w:rPr>
          <w:noProof/>
        </w:rPr>
        <w:t>20</w:t>
      </w:r>
      <w:r w:rsidR="00A62431" w:rsidRPr="00B4125E">
        <w:fldChar w:fldCharType="end"/>
      </w:r>
      <w:r w:rsidR="00A62431" w:rsidRPr="00B4125E">
        <w:t xml:space="preserve"> for yderligere oplysninger om det forberedende arbejde.</w:t>
      </w:r>
    </w:p>
    <w:p w:rsidR="000A5951" w:rsidRPr="00B4125E" w:rsidRDefault="000A5951" w:rsidP="003A0904">
      <w:pPr>
        <w:rPr>
          <w:i/>
        </w:rPr>
      </w:pPr>
    </w:p>
    <w:p w:rsidR="000A5951" w:rsidRPr="00AC5579" w:rsidRDefault="000A5951" w:rsidP="003A0904"/>
    <w:p w:rsidR="00864301" w:rsidRPr="00AC5579" w:rsidRDefault="00091759" w:rsidP="003A0904">
      <w:r w:rsidRPr="00AC5579">
        <w:t xml:space="preserve">Aftalen og business case er baseret på </w:t>
      </w:r>
      <w:r w:rsidR="000A5951" w:rsidRPr="00AC5579">
        <w:t>resultaterne af dette fælles analysearbejde.</w:t>
      </w:r>
      <w:r w:rsidR="00864301" w:rsidRPr="00AC5579">
        <w:t xml:space="preserve"> </w:t>
      </w:r>
    </w:p>
    <w:p w:rsidR="001A0171" w:rsidRPr="00AC5579" w:rsidRDefault="001A0171" w:rsidP="003A0904"/>
    <w:p w:rsidR="00C43677" w:rsidRPr="00AC5579" w:rsidRDefault="00C43677" w:rsidP="003A0904"/>
    <w:p w:rsidR="002261C8" w:rsidRPr="00AC5579" w:rsidRDefault="00F9542E" w:rsidP="00B640E2">
      <w:pPr>
        <w:pStyle w:val="Overskrift1"/>
        <w:tabs>
          <w:tab w:val="clear" w:pos="794"/>
          <w:tab w:val="left" w:pos="567"/>
          <w:tab w:val="left" w:pos="851"/>
          <w:tab w:val="left" w:pos="1134"/>
        </w:tabs>
        <w:spacing w:before="0" w:after="120" w:line="288" w:lineRule="auto"/>
        <w:ind w:left="567" w:hanging="567"/>
      </w:pPr>
      <w:bookmarkStart w:id="30" w:name="_Toc341024636"/>
      <w:r w:rsidRPr="00AC5579">
        <w:lastRenderedPageBreak/>
        <w:t>Rammer for programmet</w:t>
      </w:r>
      <w:bookmarkEnd w:id="30"/>
      <w:r w:rsidRPr="00AC5579">
        <w:t xml:space="preserve"> </w:t>
      </w:r>
    </w:p>
    <w:p w:rsidR="007F546C" w:rsidRPr="00AC5579" w:rsidRDefault="007F546C" w:rsidP="007F546C">
      <w:pPr>
        <w:pStyle w:val="Overskrift2"/>
        <w:tabs>
          <w:tab w:val="clear" w:pos="794"/>
          <w:tab w:val="left" w:pos="851"/>
          <w:tab w:val="left" w:pos="1134"/>
        </w:tabs>
        <w:spacing w:before="0" w:after="120"/>
        <w:ind w:left="567" w:hanging="567"/>
        <w:rPr>
          <w:lang w:val="da-DK"/>
        </w:rPr>
      </w:pPr>
      <w:bookmarkStart w:id="31" w:name="_Toc341024637"/>
      <w:r w:rsidRPr="00AC5579">
        <w:rPr>
          <w:lang w:val="da-DK"/>
        </w:rPr>
        <w:t>Beskrivelse af grundide</w:t>
      </w:r>
      <w:bookmarkEnd w:id="31"/>
    </w:p>
    <w:p w:rsidR="007F546C" w:rsidRPr="00AC5579" w:rsidRDefault="00267286" w:rsidP="007F546C">
      <w:r w:rsidRPr="00AC5579">
        <w:t>Programmet</w:t>
      </w:r>
      <w:r w:rsidR="007F546C" w:rsidRPr="00AC5579">
        <w:t>s grundidé er, at oplysninger om fast ejendom samles i autoritative grunddataregistre:</w:t>
      </w:r>
    </w:p>
    <w:p w:rsidR="000458CB" w:rsidRPr="00AC5579" w:rsidRDefault="007F546C" w:rsidP="008971BA">
      <w:pPr>
        <w:numPr>
          <w:ilvl w:val="0"/>
          <w:numId w:val="10"/>
        </w:numPr>
        <w:jc w:val="left"/>
      </w:pPr>
      <w:r w:rsidRPr="00AC5579">
        <w:t>Matriklen</w:t>
      </w:r>
      <w:r w:rsidR="00985FA9" w:rsidRPr="00AC5579">
        <w:t>: I</w:t>
      </w:r>
      <w:r w:rsidR="001A0171" w:rsidRPr="00AC5579">
        <w:t>dentifikation og grund</w:t>
      </w:r>
      <w:r w:rsidRPr="00AC5579">
        <w:t>registrering af alle typer fast ejendom</w:t>
      </w:r>
      <w:r w:rsidR="00985FA9" w:rsidRPr="00AC5579">
        <w:t>.</w:t>
      </w:r>
    </w:p>
    <w:p w:rsidR="000458CB" w:rsidRPr="00AC5579" w:rsidRDefault="000458CB" w:rsidP="008971BA">
      <w:pPr>
        <w:numPr>
          <w:ilvl w:val="0"/>
          <w:numId w:val="10"/>
        </w:numPr>
        <w:jc w:val="left"/>
      </w:pPr>
      <w:r w:rsidRPr="00AC5579">
        <w:t>Ejerfortegnelsen: Oplysninger om de faktiske ejendomsejere</w:t>
      </w:r>
    </w:p>
    <w:p w:rsidR="007F546C" w:rsidRPr="00AC5579" w:rsidRDefault="007F546C" w:rsidP="008971BA">
      <w:pPr>
        <w:numPr>
          <w:ilvl w:val="0"/>
          <w:numId w:val="10"/>
        </w:numPr>
        <w:jc w:val="left"/>
      </w:pPr>
      <w:r w:rsidRPr="00AC5579">
        <w:t>B</w:t>
      </w:r>
      <w:r w:rsidR="00985FA9" w:rsidRPr="00AC5579">
        <w:t xml:space="preserve">BR: Detaljer om </w:t>
      </w:r>
      <w:r w:rsidRPr="00AC5579">
        <w:t>bygninger, tekniske anlæg og bolig-/erhvervsenheder</w:t>
      </w:r>
      <w:r w:rsidR="000458CB" w:rsidRPr="00AC5579">
        <w:t xml:space="preserve"> samt adresser</w:t>
      </w:r>
      <w:r w:rsidR="00985FA9" w:rsidRPr="00AC5579">
        <w:t>.</w:t>
      </w:r>
    </w:p>
    <w:p w:rsidR="007F546C" w:rsidRPr="00AC5579" w:rsidRDefault="007F546C" w:rsidP="007F546C"/>
    <w:p w:rsidR="007F546C" w:rsidRPr="00AC5579" w:rsidRDefault="007F546C" w:rsidP="007F546C">
      <w:r w:rsidRPr="00AC5579">
        <w:t xml:space="preserve">Samtidig sker der en modernisering af de dele af ESR, som anvendes til beregning og opkrævning af ejendomsskat og bidrag, mens ESRs registerdel  bortfalder. Dermed ophører vedligeholdelsen af grunddata i kommunale </w:t>
      </w:r>
      <w:r w:rsidR="000458CB" w:rsidRPr="00AC5579">
        <w:t>registre</w:t>
      </w:r>
      <w:r w:rsidRPr="00AC5579">
        <w:t xml:space="preserve">, idet </w:t>
      </w:r>
      <w:r w:rsidR="00A225DB">
        <w:t xml:space="preserve">offentlige og private </w:t>
      </w:r>
      <w:r w:rsidR="00B163BB" w:rsidRPr="00AC5579">
        <w:t xml:space="preserve">fagsystemer fremover </w:t>
      </w:r>
      <w:r w:rsidRPr="00AC5579">
        <w:t>via den fællesoffentlige Datafordeler henter grunddata ved kilden.</w:t>
      </w:r>
      <w:r w:rsidR="00575356" w:rsidRPr="00AC5579">
        <w:t xml:space="preserve"> Oplysninger om ejendomsvurderingen vil ligeledes kunne tilgås via Datafordeleren.</w:t>
      </w:r>
      <w:r w:rsidR="00575356" w:rsidRPr="00AC5579" w:rsidDel="00575356">
        <w:t xml:space="preserve"> </w:t>
      </w:r>
    </w:p>
    <w:p w:rsidR="00575356" w:rsidRPr="00AC5579" w:rsidRDefault="00575356" w:rsidP="007F546C"/>
    <w:p w:rsidR="007F546C" w:rsidRPr="00AC5579" w:rsidRDefault="007F546C" w:rsidP="007F546C">
      <w:r w:rsidRPr="00AC5579">
        <w:t>Grundideen kan illustreres således:</w:t>
      </w:r>
    </w:p>
    <w:p w:rsidR="007F546C" w:rsidRPr="00AC5579" w:rsidRDefault="007F546C" w:rsidP="007F546C"/>
    <w:p w:rsidR="007F546C" w:rsidRPr="00AC5579" w:rsidRDefault="005F4924" w:rsidP="007F546C">
      <w:pPr>
        <w:keepNext/>
      </w:pPr>
      <w:r>
        <w:rPr>
          <w:noProof/>
        </w:rPr>
        <w:drawing>
          <wp:inline distT="0" distB="0" distL="0" distR="0" wp14:anchorId="3ADA5282">
            <wp:extent cx="5591175" cy="3114675"/>
            <wp:effectExtent l="0" t="0" r="9525" b="9525"/>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3114675"/>
                    </a:xfrm>
                    <a:prstGeom prst="rect">
                      <a:avLst/>
                    </a:prstGeom>
                    <a:noFill/>
                    <a:ln>
                      <a:noFill/>
                    </a:ln>
                  </pic:spPr>
                </pic:pic>
              </a:graphicData>
            </a:graphic>
          </wp:inline>
        </w:drawing>
      </w:r>
    </w:p>
    <w:p w:rsidR="007F546C" w:rsidRPr="00AC5579" w:rsidRDefault="007F546C" w:rsidP="007F546C">
      <w:pPr>
        <w:pStyle w:val="Billedtekst"/>
      </w:pPr>
      <w:r w:rsidRPr="00AC5579">
        <w:t xml:space="preserve">Figur </w:t>
      </w:r>
      <w:r w:rsidR="004B01EA">
        <w:fldChar w:fldCharType="begin"/>
      </w:r>
      <w:r w:rsidR="004B01EA">
        <w:instrText xml:space="preserve"> STYLEREF 1 \s </w:instrText>
      </w:r>
      <w:r w:rsidR="004B01EA">
        <w:fldChar w:fldCharType="separate"/>
      </w:r>
      <w:r w:rsidR="0091000E">
        <w:rPr>
          <w:noProof/>
        </w:rPr>
        <w:t>2</w:t>
      </w:r>
      <w:r w:rsidR="004B01EA">
        <w:rPr>
          <w:noProof/>
        </w:rPr>
        <w:fldChar w:fldCharType="end"/>
      </w:r>
      <w:r w:rsidR="00B911E8">
        <w:noBreakHyphen/>
      </w:r>
      <w:r w:rsidR="004B01EA">
        <w:fldChar w:fldCharType="begin"/>
      </w:r>
      <w:r w:rsidR="004B01EA">
        <w:instrText xml:space="preserve"> SEQ Figur \* ARABIC \s 1 </w:instrText>
      </w:r>
      <w:r w:rsidR="004B01EA">
        <w:fldChar w:fldCharType="separate"/>
      </w:r>
      <w:r w:rsidR="0091000E">
        <w:rPr>
          <w:noProof/>
        </w:rPr>
        <w:t>1</w:t>
      </w:r>
      <w:r w:rsidR="004B01EA">
        <w:rPr>
          <w:noProof/>
        </w:rPr>
        <w:fldChar w:fldCharType="end"/>
      </w:r>
      <w:r w:rsidRPr="00AC5579">
        <w:t>: Ejendoms- og bygningsdata samles i autoritative registre</w:t>
      </w:r>
      <w:r w:rsidR="00267286" w:rsidRPr="00AC5579">
        <w:t xml:space="preserve"> og fordeles.</w:t>
      </w:r>
    </w:p>
    <w:p w:rsidR="007F546C" w:rsidRPr="00AC5579" w:rsidRDefault="007F546C" w:rsidP="007F546C"/>
    <w:p w:rsidR="007F546C" w:rsidRPr="00AC5579" w:rsidRDefault="00D07DD3" w:rsidP="007F546C">
      <w:r w:rsidRPr="00AC5579">
        <w:t>I dag er der e</w:t>
      </w:r>
      <w:r w:rsidR="007F546C" w:rsidRPr="00AC5579">
        <w:t>n række omstændigheder</w:t>
      </w:r>
      <w:r w:rsidRPr="00AC5579">
        <w:t xml:space="preserve">, der </w:t>
      </w:r>
      <w:r w:rsidR="007F546C" w:rsidRPr="00AC5579">
        <w:t xml:space="preserve">hindrer et smidigt </w:t>
      </w:r>
      <w:r w:rsidR="007D2871" w:rsidRPr="00AC5579">
        <w:t xml:space="preserve">og effektivt </w:t>
      </w:r>
      <w:r w:rsidR="007F546C" w:rsidRPr="00AC5579">
        <w:t>digitalt samspil mellem ejendomsområdets myndigheder</w:t>
      </w:r>
      <w:r w:rsidR="00F06FD9" w:rsidRPr="00AC5579">
        <w:t xml:space="preserve"> og dataanvendere</w:t>
      </w:r>
      <w:r w:rsidR="007F546C" w:rsidRPr="00AC5579">
        <w:t xml:space="preserve">. Det skyldes, at den nuværende registrering af fast ejendom i forskellige registre er inkonsistent. </w:t>
      </w:r>
      <w:r w:rsidRPr="00AC5579">
        <w:t>M</w:t>
      </w:r>
      <w:r w:rsidR="007F546C" w:rsidRPr="00AC5579">
        <w:t>angel</w:t>
      </w:r>
      <w:r w:rsidRPr="00AC5579">
        <w:t>en</w:t>
      </w:r>
      <w:r w:rsidR="007F546C" w:rsidRPr="00AC5579">
        <w:t xml:space="preserve"> på konsistens kan i det væsentligste henføres til følgende forhold:</w:t>
      </w:r>
    </w:p>
    <w:p w:rsidR="007F546C" w:rsidRPr="00AC5579" w:rsidRDefault="007F546C" w:rsidP="008971BA">
      <w:pPr>
        <w:numPr>
          <w:ilvl w:val="0"/>
          <w:numId w:val="11"/>
        </w:numPr>
        <w:jc w:val="left"/>
      </w:pPr>
      <w:r w:rsidRPr="00AC5579">
        <w:t>Registrene anvender forskellige definitioner på fast ejendom.</w:t>
      </w:r>
    </w:p>
    <w:p w:rsidR="007F546C" w:rsidRPr="00AC5579" w:rsidRDefault="007F546C" w:rsidP="008971BA">
      <w:pPr>
        <w:numPr>
          <w:ilvl w:val="0"/>
          <w:numId w:val="11"/>
        </w:numPr>
        <w:jc w:val="left"/>
      </w:pPr>
      <w:r w:rsidRPr="00AC5579">
        <w:t>Mang</w:t>
      </w:r>
      <w:r w:rsidR="00D07DD3" w:rsidRPr="00AC5579">
        <w:t>lende</w:t>
      </w:r>
      <w:r w:rsidRPr="00AC5579">
        <w:t xml:space="preserve"> entydig identifikation af fast ejendom på tværs af registrene.</w:t>
      </w:r>
    </w:p>
    <w:p w:rsidR="007F546C" w:rsidRPr="00AC5579" w:rsidRDefault="00F06FD9" w:rsidP="008971BA">
      <w:pPr>
        <w:numPr>
          <w:ilvl w:val="0"/>
          <w:numId w:val="11"/>
        </w:numPr>
        <w:jc w:val="left"/>
      </w:pPr>
      <w:r w:rsidRPr="00AC5579">
        <w:t>Grund</w:t>
      </w:r>
      <w:r w:rsidR="001154C3" w:rsidRPr="00AC5579">
        <w:t xml:space="preserve">registreringen af fast ejendom </w:t>
      </w:r>
      <w:r w:rsidR="00697468">
        <w:t>vare</w:t>
      </w:r>
      <w:r w:rsidR="00D07DD3" w:rsidRPr="00AC5579">
        <w:t xml:space="preserve">tages af </w:t>
      </w:r>
      <w:r w:rsidR="007F546C" w:rsidRPr="00AC5579">
        <w:t>flere registre</w:t>
      </w:r>
      <w:r w:rsidR="001154C3" w:rsidRPr="00AC5579">
        <w:t xml:space="preserve"> (jordstykker i Matriklen, ejerlejligheder og bygninger på fremmed grund i Tingbogen)</w:t>
      </w:r>
      <w:r w:rsidR="007F546C" w:rsidRPr="00AC5579">
        <w:t>.</w:t>
      </w:r>
    </w:p>
    <w:p w:rsidR="007F546C" w:rsidRPr="00AC5579" w:rsidRDefault="007F546C" w:rsidP="008971BA">
      <w:pPr>
        <w:numPr>
          <w:ilvl w:val="0"/>
          <w:numId w:val="11"/>
        </w:numPr>
        <w:jc w:val="left"/>
      </w:pPr>
      <w:r w:rsidRPr="00AC5579">
        <w:t>Den autoritative ejendomsregistrering sker for sent.</w:t>
      </w:r>
    </w:p>
    <w:p w:rsidR="007F546C" w:rsidRPr="00AC5579" w:rsidRDefault="007F546C" w:rsidP="008971BA">
      <w:pPr>
        <w:numPr>
          <w:ilvl w:val="0"/>
          <w:numId w:val="11"/>
        </w:numPr>
        <w:jc w:val="left"/>
      </w:pPr>
      <w:r w:rsidRPr="00AC5579">
        <w:lastRenderedPageBreak/>
        <w:t xml:space="preserve">Manglende konsistens </w:t>
      </w:r>
      <w:r w:rsidR="001154C3" w:rsidRPr="00AC5579">
        <w:t>i</w:t>
      </w:r>
      <w:r w:rsidRPr="00AC5579">
        <w:t xml:space="preserve"> registrering</w:t>
      </w:r>
      <w:r w:rsidR="001154C3" w:rsidRPr="00AC5579">
        <w:t>en</w:t>
      </w:r>
      <w:r w:rsidRPr="00AC5579">
        <w:t xml:space="preserve"> af ejerskab til fast ejendom.</w:t>
      </w:r>
    </w:p>
    <w:p w:rsidR="007F546C" w:rsidRPr="00AC5579" w:rsidRDefault="007F546C" w:rsidP="007F546C"/>
    <w:p w:rsidR="00FC5AB3" w:rsidRPr="00AC5579" w:rsidRDefault="00BF3758" w:rsidP="007F546C">
      <w:r w:rsidRPr="00AC5579">
        <w:t xml:space="preserve">På grundlag af analyser </w:t>
      </w:r>
      <w:r w:rsidR="00FC5AB3" w:rsidRPr="00AC5579">
        <w:t xml:space="preserve">af </w:t>
      </w:r>
      <w:r w:rsidRPr="00AC5579">
        <w:t xml:space="preserve">de nuværende processer og den tilknyttede infrastruktur </w:t>
      </w:r>
      <w:r w:rsidR="00FC5AB3" w:rsidRPr="00AC5579">
        <w:t>er aftaleparterne blevet enige om en række tiltag</w:t>
      </w:r>
      <w:r w:rsidR="0045596C" w:rsidRPr="00AC5579">
        <w:t>,</w:t>
      </w:r>
      <w:r w:rsidR="00FC5AB3" w:rsidRPr="00AC5579">
        <w:t xml:space="preserve"> der skal fjerne de nuværende barrierer </w:t>
      </w:r>
      <w:r w:rsidR="0045596C" w:rsidRPr="00AC5579">
        <w:t xml:space="preserve">med henblik på at </w:t>
      </w:r>
      <w:r w:rsidR="00FC5AB3" w:rsidRPr="00AC5579">
        <w:t xml:space="preserve">realisere </w:t>
      </w:r>
      <w:r w:rsidR="0045596C" w:rsidRPr="00AC5579">
        <w:t>programmets grundide</w:t>
      </w:r>
      <w:r w:rsidR="00FC5AB3" w:rsidRPr="00AC5579">
        <w:t xml:space="preserve"> om at samle ejendoms- og bygningsdata i autoritative registre.</w:t>
      </w:r>
    </w:p>
    <w:p w:rsidR="00FC5AB3" w:rsidRPr="00AC5579" w:rsidRDefault="00FC5AB3" w:rsidP="007F546C"/>
    <w:p w:rsidR="00A91F9C" w:rsidRPr="00AC5579" w:rsidRDefault="00BF3758" w:rsidP="007F546C">
      <w:r w:rsidRPr="00AC5579">
        <w:t>Aktiviteterne organiseres i projekter under de ansvarlige myndigheders ledelse</w:t>
      </w:r>
      <w:r w:rsidR="00A91F9C" w:rsidRPr="00AC5579">
        <w:t>, mens programmet har ansvaret for at samordne projekterne.</w:t>
      </w:r>
    </w:p>
    <w:p w:rsidR="00FC5AB3" w:rsidRPr="00AC5579" w:rsidRDefault="00FC5AB3" w:rsidP="007F546C"/>
    <w:p w:rsidR="00A62431" w:rsidRDefault="00BB0ECC" w:rsidP="001249A6">
      <w:pPr>
        <w:pStyle w:val="Overskrift2"/>
        <w:rPr>
          <w:lang w:val="da-DK"/>
        </w:rPr>
      </w:pPr>
      <w:bookmarkStart w:id="32" w:name="_Toc341024638"/>
      <w:r>
        <w:t>Forretningsmæssige mål</w:t>
      </w:r>
      <w:bookmarkEnd w:id="32"/>
      <w:r>
        <w:t xml:space="preserve"> </w:t>
      </w:r>
    </w:p>
    <w:p w:rsidR="00A24E0D" w:rsidRDefault="001249A6" w:rsidP="00A24E0D">
      <w:r>
        <w:t xml:space="preserve">Programmets </w:t>
      </w:r>
      <w:r w:rsidR="00BB0ECC">
        <w:t>vision</w:t>
      </w:r>
      <w:r w:rsidR="00A24E0D">
        <w:t xml:space="preserve"> eller forretningsmæssige mål er at etablere et grundlag for effektivt og konsekvent genbrug af grund</w:t>
      </w:r>
      <w:r w:rsidR="00A24E0D">
        <w:softHyphen/>
        <w:t xml:space="preserve">data om fast ejendom og bygninger således: </w:t>
      </w:r>
    </w:p>
    <w:p w:rsidR="00A24E0D" w:rsidRDefault="00A24E0D" w:rsidP="00A24E0D"/>
    <w:p w:rsidR="00A1799E" w:rsidRDefault="00A1799E" w:rsidP="001249A6">
      <w:pPr>
        <w:numPr>
          <w:ilvl w:val="0"/>
          <w:numId w:val="39"/>
        </w:numPr>
      </w:pPr>
      <w:r>
        <w:t xml:space="preserve">At </w:t>
      </w:r>
      <w:r w:rsidR="006204C9">
        <w:t>den offentlige registrering</w:t>
      </w:r>
      <w:r>
        <w:t xml:space="preserve"> af fast ejendom sker på </w:t>
      </w:r>
      <w:r w:rsidRPr="00AC5579">
        <w:t>ske</w:t>
      </w:r>
      <w:r>
        <w:t xml:space="preserve">r </w:t>
      </w:r>
      <w:r w:rsidRPr="00AC5579">
        <w:t>på en effektiv, sikker og ensartet måde</w:t>
      </w:r>
      <w:r>
        <w:t xml:space="preserve"> </w:t>
      </w:r>
    </w:p>
    <w:p w:rsidR="001249A6" w:rsidRDefault="00A1799E" w:rsidP="00B4125E">
      <w:pPr>
        <w:numPr>
          <w:ilvl w:val="0"/>
          <w:numId w:val="39"/>
        </w:numPr>
      </w:pPr>
      <w:r>
        <w:t>At e</w:t>
      </w:r>
      <w:r w:rsidR="006204C9">
        <w:t xml:space="preserve">jendoms- og bygningsdata </w:t>
      </w:r>
      <w:r w:rsidR="001249A6" w:rsidRPr="001249A6">
        <w:t xml:space="preserve">uden videre </w:t>
      </w:r>
      <w:r w:rsidR="006204C9">
        <w:t xml:space="preserve">kan </w:t>
      </w:r>
      <w:r w:rsidR="001249A6" w:rsidRPr="001249A6">
        <w:t xml:space="preserve">genbruges i digitale samspil på tværs af myndigheder og i den private sektor. </w:t>
      </w:r>
    </w:p>
    <w:p w:rsidR="00C20250" w:rsidRDefault="00A1799E" w:rsidP="00B4125E">
      <w:pPr>
        <w:numPr>
          <w:ilvl w:val="0"/>
          <w:numId w:val="39"/>
        </w:numPr>
      </w:pPr>
      <w:r>
        <w:t xml:space="preserve">At </w:t>
      </w:r>
      <w:r w:rsidR="00BB0ECC">
        <w:t xml:space="preserve">ensarte og </w:t>
      </w:r>
      <w:r>
        <w:t>s</w:t>
      </w:r>
      <w:r w:rsidR="001249A6" w:rsidRPr="001249A6">
        <w:t xml:space="preserve">kabe større sikkerhed omkring identifikationen af </w:t>
      </w:r>
      <w:r w:rsidR="006204C9">
        <w:t>fast ejendom</w:t>
      </w:r>
      <w:r w:rsidR="001249A6" w:rsidRPr="001249A6">
        <w:t xml:space="preserve"> og bygninger.</w:t>
      </w:r>
    </w:p>
    <w:p w:rsidR="00A24E0D" w:rsidRDefault="00A24E0D" w:rsidP="00A24E0D"/>
    <w:p w:rsidR="00B640E2" w:rsidRPr="00AC5579" w:rsidRDefault="00E03E1B" w:rsidP="00E03E1B">
      <w:pPr>
        <w:pStyle w:val="Overskrift2"/>
        <w:rPr>
          <w:lang w:val="da-DK"/>
        </w:rPr>
      </w:pPr>
      <w:bookmarkStart w:id="33" w:name="_Toc341024639"/>
      <w:r w:rsidRPr="00AC5579">
        <w:rPr>
          <w:lang w:val="da-DK"/>
        </w:rPr>
        <w:t>Formål</w:t>
      </w:r>
      <w:bookmarkEnd w:id="33"/>
    </w:p>
    <w:p w:rsidR="00A24E0D" w:rsidRDefault="00A24E0D" w:rsidP="00A24E0D">
      <w:r>
        <w:t>Aftalen omfatter en forbedring af datagrundlaget og etablerer en sammen</w:t>
      </w:r>
      <w:r>
        <w:softHyphen/>
        <w:t>hæn</w:t>
      </w:r>
      <w:r>
        <w:softHyphen/>
        <w:t xml:space="preserve">gende infrastruktur, der sikrer, at data stilles rådighed for offentlige og private brugere på en effektiv og sikker måde. </w:t>
      </w:r>
    </w:p>
    <w:p w:rsidR="00A24E0D" w:rsidRDefault="00A24E0D" w:rsidP="002261C8"/>
    <w:p w:rsidR="002261C8" w:rsidRPr="00AC5579" w:rsidRDefault="001249A6" w:rsidP="002261C8">
      <w:r>
        <w:t xml:space="preserve">Gennem en samordnet gennemførelse af </w:t>
      </w:r>
      <w:r w:rsidR="00A24E0D">
        <w:t xml:space="preserve">aftalens </w:t>
      </w:r>
      <w:r w:rsidR="00C1612E">
        <w:t xml:space="preserve"> </w:t>
      </w:r>
      <w:r>
        <w:t xml:space="preserve">skal programmet: </w:t>
      </w:r>
    </w:p>
    <w:p w:rsidR="00716C75" w:rsidRDefault="006E6682" w:rsidP="00A6120B">
      <w:pPr>
        <w:numPr>
          <w:ilvl w:val="0"/>
          <w:numId w:val="9"/>
        </w:numPr>
        <w:jc w:val="left"/>
      </w:pPr>
      <w:r>
        <w:t>Skabe grundlag</w:t>
      </w:r>
      <w:r w:rsidR="00115C65">
        <w:t xml:space="preserve"> for </w:t>
      </w:r>
      <w:r w:rsidR="00767027">
        <w:t>f</w:t>
      </w:r>
      <w:r w:rsidR="00BB0ECC">
        <w:t>orenkle</w:t>
      </w:r>
      <w:r w:rsidR="00115C65">
        <w:t>t</w:t>
      </w:r>
      <w:r w:rsidR="00BB0ECC">
        <w:t xml:space="preserve"> </w:t>
      </w:r>
      <w:r w:rsidR="00A1799E" w:rsidRPr="001249A6">
        <w:t>of</w:t>
      </w:r>
      <w:r w:rsidR="00716C75">
        <w:t>fentlig og privat forvaltning af fast ejendom og bygninger.</w:t>
      </w:r>
    </w:p>
    <w:p w:rsidR="00A24E0D" w:rsidRDefault="00A24E0D" w:rsidP="006204C9">
      <w:pPr>
        <w:numPr>
          <w:ilvl w:val="0"/>
          <w:numId w:val="9"/>
        </w:numPr>
        <w:jc w:val="left"/>
      </w:pPr>
      <w:r>
        <w:t xml:space="preserve">Samle grunddata  om fast ejendom, bygninger og </w:t>
      </w:r>
      <w:r w:rsidR="00EF1E27">
        <w:t>deres</w:t>
      </w:r>
      <w:r>
        <w:t xml:space="preserve"> ejere i tre autoritative registre: Matriklen, BBR og den nye Ejerfortegnelse.</w:t>
      </w:r>
    </w:p>
    <w:p w:rsidR="00EF1E27" w:rsidRPr="001249A6" w:rsidRDefault="00EF1E27" w:rsidP="00EF1E27">
      <w:pPr>
        <w:numPr>
          <w:ilvl w:val="0"/>
          <w:numId w:val="9"/>
        </w:numPr>
        <w:jc w:val="left"/>
      </w:pPr>
      <w:r>
        <w:t xml:space="preserve">Forbedre kvaliteten </w:t>
      </w:r>
      <w:r w:rsidRPr="001249A6">
        <w:t xml:space="preserve"> af grunddata om ejendomme og bygninger</w:t>
      </w:r>
    </w:p>
    <w:p w:rsidR="006204C9" w:rsidRDefault="006204C9" w:rsidP="006204C9">
      <w:pPr>
        <w:numPr>
          <w:ilvl w:val="0"/>
          <w:numId w:val="9"/>
        </w:numPr>
        <w:jc w:val="left"/>
      </w:pPr>
      <w:r w:rsidRPr="001249A6">
        <w:t xml:space="preserve">Etablere grundlaget for et samordnet og effektivt genbrug af </w:t>
      </w:r>
      <w:r w:rsidR="00BB0ECC">
        <w:t>ejendoms- og bygningsdata.</w:t>
      </w:r>
      <w:r w:rsidRPr="00EB2670">
        <w:t xml:space="preserve"> </w:t>
      </w:r>
    </w:p>
    <w:p w:rsidR="00EB2670" w:rsidRDefault="00EB2670" w:rsidP="00B4125E">
      <w:pPr>
        <w:ind w:left="720"/>
        <w:jc w:val="left"/>
      </w:pPr>
    </w:p>
    <w:p w:rsidR="00CF0DA6" w:rsidRPr="00AC5579" w:rsidRDefault="00A24E0D" w:rsidP="002261C8">
      <w:r>
        <w:t>Programmets business case dokumenterer, at programmet s</w:t>
      </w:r>
      <w:r w:rsidR="00EB2670">
        <w:t xml:space="preserve">amlet set vil </w:t>
      </w:r>
      <w:r w:rsidR="002261C8" w:rsidRPr="00AC5579">
        <w:t>frigøre ressourcer og skabe kvalitative gevinster for myndigheder, borgere og virksomheder.</w:t>
      </w:r>
      <w:r w:rsidR="00CF0DA6" w:rsidRPr="00AC5579">
        <w:t xml:space="preserve"> </w:t>
      </w:r>
    </w:p>
    <w:p w:rsidR="00DE71FE" w:rsidRPr="00AC5579" w:rsidRDefault="00DE71FE" w:rsidP="002261C8"/>
    <w:p w:rsidR="00EB48BE" w:rsidRPr="00AC5579" w:rsidRDefault="00E03E1B" w:rsidP="00E03E1B">
      <w:pPr>
        <w:pStyle w:val="Overskrift2"/>
        <w:rPr>
          <w:lang w:val="da-DK"/>
        </w:rPr>
      </w:pPr>
      <w:bookmarkStart w:id="34" w:name="_Toc341024640"/>
      <w:r w:rsidRPr="00AC5579">
        <w:rPr>
          <w:lang w:val="da-DK"/>
        </w:rPr>
        <w:t>Mål</w:t>
      </w:r>
      <w:bookmarkEnd w:id="34"/>
    </w:p>
    <w:p w:rsidR="003C1DCA" w:rsidRDefault="009E561F" w:rsidP="00E03E1B">
      <w:r>
        <w:t>De enkelte aftaleparters aktiviteter (programmål) er i Grunddataprogrammets d</w:t>
      </w:r>
      <w:r w:rsidR="007371D1">
        <w:t xml:space="preserve">elaftale 1 </w:t>
      </w:r>
      <w:r>
        <w:t>beskrevet således:</w:t>
      </w:r>
    </w:p>
    <w:p w:rsidR="003C1DCA" w:rsidRDefault="003C1DCA" w:rsidP="00E03E1B">
      <w:r>
        <w:t xml:space="preserve"> </w:t>
      </w:r>
    </w:p>
    <w:p w:rsidR="00281BA4" w:rsidRPr="00C849FC" w:rsidRDefault="00281BA4" w:rsidP="00281BA4">
      <w:r w:rsidRPr="00C849FC">
        <w:t>Matrikle</w:t>
      </w:r>
      <w:r>
        <w:t>n</w:t>
      </w:r>
    </w:p>
    <w:p w:rsidR="00281BA4" w:rsidRDefault="00281BA4" w:rsidP="008971BA">
      <w:pPr>
        <w:numPr>
          <w:ilvl w:val="0"/>
          <w:numId w:val="33"/>
        </w:numPr>
        <w:spacing w:line="280" w:lineRule="atLeast"/>
        <w:jc w:val="left"/>
      </w:pPr>
      <w:r>
        <w:lastRenderedPageBreak/>
        <w:t>G</w:t>
      </w:r>
      <w:r w:rsidRPr="00C849FC">
        <w:t xml:space="preserve">rundregistreringen af ejerlejligheder og bygninger på </w:t>
      </w:r>
      <w:r w:rsidR="00F015DE">
        <w:t>fremmed</w:t>
      </w:r>
      <w:r w:rsidRPr="00C849FC">
        <w:t xml:space="preserve"> grund</w:t>
      </w:r>
      <w:r>
        <w:t xml:space="preserve"> </w:t>
      </w:r>
      <w:r w:rsidR="00F015DE">
        <w:t>sker i  Matriklen</w:t>
      </w:r>
    </w:p>
    <w:p w:rsidR="00281BA4" w:rsidRPr="00C849FC" w:rsidRDefault="00F015DE" w:rsidP="008971BA">
      <w:pPr>
        <w:numPr>
          <w:ilvl w:val="0"/>
          <w:numId w:val="33"/>
        </w:numPr>
        <w:spacing w:line="280" w:lineRule="atLeast"/>
        <w:jc w:val="left"/>
      </w:pPr>
      <w:r>
        <w:t>Alle typer fast ejendom registreres  efter samme procedure.</w:t>
      </w:r>
      <w:r w:rsidR="00281BA4" w:rsidRPr="00C849FC">
        <w:t xml:space="preserve"> </w:t>
      </w:r>
    </w:p>
    <w:p w:rsidR="00281BA4" w:rsidRDefault="00281BA4" w:rsidP="008971BA">
      <w:pPr>
        <w:numPr>
          <w:ilvl w:val="0"/>
          <w:numId w:val="33"/>
        </w:numPr>
        <w:spacing w:line="280" w:lineRule="atLeast"/>
        <w:jc w:val="left"/>
      </w:pPr>
      <w:r w:rsidRPr="00C849FC">
        <w:t xml:space="preserve">I tilknytning til Matriklen </w:t>
      </w:r>
      <w:r>
        <w:t>registreres</w:t>
      </w:r>
      <w:r w:rsidRPr="00C849FC">
        <w:t xml:space="preserve"> ejendomme under tilblivelse</w:t>
      </w:r>
      <w:r w:rsidR="008A410B">
        <w:t>.</w:t>
      </w:r>
    </w:p>
    <w:p w:rsidR="008A410B" w:rsidRDefault="008A410B" w:rsidP="008A410B">
      <w:pPr>
        <w:spacing w:line="280" w:lineRule="atLeast"/>
        <w:ind w:left="720"/>
        <w:jc w:val="left"/>
      </w:pPr>
    </w:p>
    <w:p w:rsidR="00281BA4" w:rsidRDefault="00281BA4" w:rsidP="00281BA4">
      <w:r w:rsidRPr="00C849FC">
        <w:t>Tingbogen</w:t>
      </w:r>
    </w:p>
    <w:p w:rsidR="00411E7F" w:rsidRDefault="00411E7F" w:rsidP="008971BA">
      <w:pPr>
        <w:numPr>
          <w:ilvl w:val="0"/>
          <w:numId w:val="34"/>
        </w:numPr>
        <w:spacing w:line="280" w:lineRule="atLeast"/>
        <w:jc w:val="left"/>
      </w:pPr>
      <w:r>
        <w:t>Tingbogens r</w:t>
      </w:r>
      <w:r w:rsidR="00697468">
        <w:t>egistrering</w:t>
      </w:r>
      <w:r w:rsidR="00281BA4" w:rsidRPr="00884F62">
        <w:t xml:space="preserve"> af ejendomme</w:t>
      </w:r>
      <w:r>
        <w:t xml:space="preserve">, som findes i Matriklen, sker </w:t>
      </w:r>
      <w:r w:rsidR="00281BA4" w:rsidRPr="00884F62">
        <w:t xml:space="preserve">på grundlag af </w:t>
      </w:r>
      <w:r>
        <w:t xml:space="preserve">Matriklens </w:t>
      </w:r>
      <w:r w:rsidR="008A410B">
        <w:t>oplysninger</w:t>
      </w:r>
      <w:r>
        <w:t>.</w:t>
      </w:r>
    </w:p>
    <w:p w:rsidR="00281BA4" w:rsidRPr="00C849FC" w:rsidRDefault="008A410B" w:rsidP="008971BA">
      <w:pPr>
        <w:numPr>
          <w:ilvl w:val="0"/>
          <w:numId w:val="34"/>
        </w:numPr>
        <w:spacing w:line="280" w:lineRule="atLeast"/>
        <w:jc w:val="left"/>
      </w:pPr>
      <w:r>
        <w:t>Ejerfortegnelsen er etableret i t</w:t>
      </w:r>
      <w:r w:rsidR="00281BA4" w:rsidRPr="00C849FC">
        <w:t>ilknytning til Tingbogen</w:t>
      </w:r>
      <w:r w:rsidR="00411E7F">
        <w:t>.</w:t>
      </w:r>
    </w:p>
    <w:p w:rsidR="00281BA4" w:rsidRPr="00C849FC" w:rsidRDefault="008A410B" w:rsidP="008971BA">
      <w:pPr>
        <w:numPr>
          <w:ilvl w:val="0"/>
          <w:numId w:val="34"/>
        </w:numPr>
        <w:spacing w:line="280" w:lineRule="atLeast"/>
        <w:jc w:val="left"/>
      </w:pPr>
      <w:r>
        <w:t>Æ</w:t>
      </w:r>
      <w:r w:rsidR="00281BA4">
        <w:t xml:space="preserve">ndringer i tinglyste og ikke-tinglyste </w:t>
      </w:r>
      <w:r w:rsidR="00281BA4" w:rsidRPr="00C849FC">
        <w:t xml:space="preserve">ejerforhold </w:t>
      </w:r>
      <w:r w:rsidR="00281BA4">
        <w:t>indberettes</w:t>
      </w:r>
      <w:r w:rsidR="00281BA4" w:rsidRPr="00C849FC">
        <w:t xml:space="preserve"> på en ensartet måde.</w:t>
      </w:r>
      <w:r w:rsidR="00281BA4">
        <w:t xml:space="preserve"> </w:t>
      </w:r>
    </w:p>
    <w:p w:rsidR="00F015DE" w:rsidRDefault="00281BA4" w:rsidP="008971BA">
      <w:pPr>
        <w:numPr>
          <w:ilvl w:val="0"/>
          <w:numId w:val="34"/>
        </w:numPr>
        <w:spacing w:line="280" w:lineRule="atLeast"/>
        <w:jc w:val="left"/>
      </w:pPr>
      <w:r w:rsidRPr="00C849FC">
        <w:t>Foged- og skifteretterne indberette</w:t>
      </w:r>
      <w:r w:rsidR="008A410B">
        <w:t>r</w:t>
      </w:r>
      <w:r w:rsidRPr="00C849FC">
        <w:t xml:space="preserve"> oplysninger om ejerskifte direkte til </w:t>
      </w:r>
      <w:r>
        <w:t>T</w:t>
      </w:r>
      <w:r w:rsidRPr="00C849FC">
        <w:t>ingbog</w:t>
      </w:r>
      <w:r>
        <w:t>en</w:t>
      </w:r>
      <w:r w:rsidRPr="00C849FC">
        <w:t xml:space="preserve"> og/eller </w:t>
      </w:r>
      <w:r>
        <w:t>E</w:t>
      </w:r>
      <w:r w:rsidRPr="00C849FC">
        <w:t>jerfortegnelse</w:t>
      </w:r>
      <w:r>
        <w:t>n</w:t>
      </w:r>
      <w:r w:rsidRPr="00C849FC">
        <w:t xml:space="preserve">. </w:t>
      </w:r>
    </w:p>
    <w:p w:rsidR="00F015DE" w:rsidRDefault="00F015DE" w:rsidP="00F015DE">
      <w:pPr>
        <w:spacing w:line="280" w:lineRule="atLeast"/>
        <w:ind w:left="720"/>
        <w:jc w:val="left"/>
      </w:pPr>
    </w:p>
    <w:p w:rsidR="00281BA4" w:rsidRPr="00C849FC" w:rsidRDefault="00281BA4" w:rsidP="00F015DE">
      <w:pPr>
        <w:spacing w:line="280" w:lineRule="atLeast"/>
        <w:jc w:val="left"/>
      </w:pPr>
      <w:r w:rsidRPr="00C849FC">
        <w:t>BBR</w:t>
      </w:r>
    </w:p>
    <w:p w:rsidR="00281BA4" w:rsidRDefault="00281BA4" w:rsidP="008971BA">
      <w:pPr>
        <w:numPr>
          <w:ilvl w:val="0"/>
          <w:numId w:val="35"/>
        </w:numPr>
        <w:spacing w:line="280" w:lineRule="atLeast"/>
        <w:jc w:val="left"/>
      </w:pPr>
      <w:r>
        <w:t>B</w:t>
      </w:r>
      <w:r w:rsidRPr="00C849FC">
        <w:t xml:space="preserve">ygninger og boliger </w:t>
      </w:r>
      <w:r>
        <w:t xml:space="preserve">i BBR </w:t>
      </w:r>
      <w:r w:rsidR="00411E7F">
        <w:t>registreres på grundlag af Matriklens grundregistrering af fast ejendom.</w:t>
      </w:r>
      <w:r w:rsidRPr="00C849FC">
        <w:t xml:space="preserve"> </w:t>
      </w:r>
    </w:p>
    <w:p w:rsidR="00F015DE" w:rsidRDefault="00411E7F" w:rsidP="008971BA">
      <w:pPr>
        <w:numPr>
          <w:ilvl w:val="0"/>
          <w:numId w:val="35"/>
        </w:numPr>
        <w:spacing w:line="280" w:lineRule="atLeast"/>
        <w:jc w:val="left"/>
      </w:pPr>
      <w:r>
        <w:t xml:space="preserve">Fællesoffentlig infrastruktur </w:t>
      </w:r>
      <w:r w:rsidR="00697468">
        <w:t xml:space="preserve">er til rådighed </w:t>
      </w:r>
      <w:r>
        <w:t xml:space="preserve">for standardiseret </w:t>
      </w:r>
      <w:r w:rsidR="008A410B">
        <w:t xml:space="preserve"> </w:t>
      </w:r>
      <w:r>
        <w:t>geokodning af bygninger.</w:t>
      </w:r>
    </w:p>
    <w:p w:rsidR="00F015DE" w:rsidRDefault="00F015DE" w:rsidP="00F015DE">
      <w:pPr>
        <w:spacing w:line="280" w:lineRule="atLeast"/>
        <w:ind w:left="720"/>
        <w:jc w:val="left"/>
      </w:pPr>
    </w:p>
    <w:p w:rsidR="00281BA4" w:rsidRPr="00C849FC" w:rsidRDefault="00281BA4" w:rsidP="00411E7F">
      <w:r>
        <w:t>Kommunerne</w:t>
      </w:r>
    </w:p>
    <w:p w:rsidR="00281BA4" w:rsidRDefault="00281BA4" w:rsidP="008971BA">
      <w:pPr>
        <w:numPr>
          <w:ilvl w:val="0"/>
          <w:numId w:val="36"/>
        </w:numPr>
        <w:spacing w:line="280" w:lineRule="atLeast"/>
        <w:jc w:val="left"/>
      </w:pPr>
      <w:r w:rsidRPr="00C849FC">
        <w:t xml:space="preserve">Den kommunale grunddataregistrering af ejendomme og ejere i ESR </w:t>
      </w:r>
      <w:r>
        <w:t>ophører som led i kommunernes afvikling af ESR.</w:t>
      </w:r>
    </w:p>
    <w:p w:rsidR="00F015DE" w:rsidRDefault="00F015DE" w:rsidP="00F015DE"/>
    <w:p w:rsidR="00281BA4" w:rsidRDefault="00F015DE" w:rsidP="00F015DE">
      <w:r>
        <w:t>Grunddataforbedringer:</w:t>
      </w:r>
    </w:p>
    <w:p w:rsidR="00F015DE" w:rsidRPr="00C849FC" w:rsidRDefault="00F015DE" w:rsidP="008971BA">
      <w:pPr>
        <w:numPr>
          <w:ilvl w:val="0"/>
          <w:numId w:val="36"/>
        </w:numPr>
        <w:spacing w:line="280" w:lineRule="atLeast"/>
        <w:jc w:val="left"/>
      </w:pPr>
      <w:r>
        <w:t>Der</w:t>
      </w:r>
      <w:r w:rsidR="008A410B">
        <w:t xml:space="preserve"> er indført </w:t>
      </w:r>
      <w:r>
        <w:t xml:space="preserve">et fælles ejendomsbegreb </w:t>
      </w:r>
      <w:r w:rsidRPr="00C849FC">
        <w:t>med</w:t>
      </w:r>
      <w:r>
        <w:t xml:space="preserve"> en </w:t>
      </w:r>
      <w:r w:rsidRPr="00C849FC">
        <w:t>entydig identifikation af ejendommen og dens bestanddele</w:t>
      </w:r>
      <w:r>
        <w:t>.</w:t>
      </w:r>
      <w:r w:rsidRPr="00C849FC">
        <w:t xml:space="preserve"> </w:t>
      </w:r>
    </w:p>
    <w:p w:rsidR="00F015DE" w:rsidRDefault="00F015DE" w:rsidP="008971BA">
      <w:pPr>
        <w:numPr>
          <w:ilvl w:val="0"/>
          <w:numId w:val="36"/>
        </w:numPr>
        <w:spacing w:line="280" w:lineRule="atLeast"/>
        <w:jc w:val="left"/>
      </w:pPr>
      <w:r>
        <w:t xml:space="preserve">Eksisterende ejendomsdata  </w:t>
      </w:r>
      <w:r w:rsidR="008A410B">
        <w:t>er harmoniseret</w:t>
      </w:r>
      <w:r>
        <w:t xml:space="preserve"> i overensstemmelse med det fælles ejendomsbegreb.</w:t>
      </w:r>
    </w:p>
    <w:p w:rsidR="00F015DE" w:rsidRDefault="00F015DE" w:rsidP="00F015DE">
      <w:pPr>
        <w:spacing w:line="280" w:lineRule="atLeast"/>
        <w:ind w:left="720"/>
        <w:jc w:val="left"/>
      </w:pPr>
    </w:p>
    <w:p w:rsidR="00F015DE" w:rsidRDefault="00F015DE" w:rsidP="00F015DE">
      <w:pPr>
        <w:spacing w:line="280" w:lineRule="atLeast"/>
        <w:jc w:val="left"/>
      </w:pPr>
      <w:r>
        <w:t>Adgang til grunddata om ejendomme</w:t>
      </w:r>
    </w:p>
    <w:p w:rsidR="00F015DE" w:rsidRDefault="00F015DE" w:rsidP="008971BA">
      <w:pPr>
        <w:numPr>
          <w:ilvl w:val="0"/>
          <w:numId w:val="37"/>
        </w:numPr>
      </w:pPr>
      <w:r>
        <w:t>Grunddata om ejendomme i Matriklen, Ejerfortegnelsen, BBR og Vurderingsregisteret</w:t>
      </w:r>
      <w:r w:rsidR="00D669DC">
        <w:rPr>
          <w:rStyle w:val="Fodnotehenvisning"/>
        </w:rPr>
        <w:footnoteReference w:id="2"/>
      </w:r>
      <w:r w:rsidR="00540C15">
        <w:t xml:space="preserve"> </w:t>
      </w:r>
      <w:r>
        <w:t>distribueres via datafordeleren og kan frit anvendes af myndigheder og private til kommerciel</w:t>
      </w:r>
      <w:r w:rsidR="00540C15">
        <w:t>le og ikke-kommercielle formål.</w:t>
      </w:r>
    </w:p>
    <w:p w:rsidR="008A410B" w:rsidRDefault="008A410B" w:rsidP="008A410B">
      <w:pPr>
        <w:ind w:left="720"/>
      </w:pPr>
    </w:p>
    <w:p w:rsidR="00711018" w:rsidRPr="00AC5579" w:rsidRDefault="00711018" w:rsidP="00711018">
      <w:pPr>
        <w:pStyle w:val="Overskrift2"/>
        <w:rPr>
          <w:lang w:val="da-DK"/>
        </w:rPr>
      </w:pPr>
      <w:bookmarkStart w:id="35" w:name="_Toc341024641"/>
      <w:r w:rsidRPr="00AC5579">
        <w:rPr>
          <w:lang w:val="da-DK"/>
        </w:rPr>
        <w:t>Leverancer</w:t>
      </w:r>
      <w:bookmarkEnd w:id="35"/>
    </w:p>
    <w:p w:rsidR="00622E09" w:rsidRDefault="00C1612E" w:rsidP="00C95126">
      <w:r>
        <w:t>Programmet skal levere som aftalt i delaftale 1.</w:t>
      </w:r>
      <w:r w:rsidR="00622E09" w:rsidRPr="00622E09">
        <w:t xml:space="preserve"> </w:t>
      </w:r>
      <w:r w:rsidR="00622E09" w:rsidRPr="00AC5579">
        <w:t xml:space="preserve">Programmet </w:t>
      </w:r>
      <w:r w:rsidR="00622E09">
        <w:t>udarbejder en fælles implementeringsplan</w:t>
      </w:r>
      <w:r w:rsidR="00AF14E7">
        <w:t xml:space="preserve"> (se afsnit </w:t>
      </w:r>
      <w:r w:rsidR="00AF14E7">
        <w:fldChar w:fldCharType="begin"/>
      </w:r>
      <w:r w:rsidR="00AF14E7">
        <w:instrText xml:space="preserve"> REF _Ref341083191 \r \h </w:instrText>
      </w:r>
      <w:r w:rsidR="00AF14E7">
        <w:fldChar w:fldCharType="separate"/>
      </w:r>
      <w:r w:rsidR="0091000E">
        <w:t>4.1</w:t>
      </w:r>
      <w:r w:rsidR="00AF14E7">
        <w:fldChar w:fldCharType="end"/>
      </w:r>
      <w:r w:rsidR="00AF14E7">
        <w:t>)</w:t>
      </w:r>
      <w:r w:rsidR="00622E09">
        <w:t>, som dels fastlægger de enkelte aktør</w:t>
      </w:r>
      <w:r w:rsidR="00EF1E27">
        <w:t>er</w:t>
      </w:r>
      <w:r w:rsidR="00622E09">
        <w:t>s leverancer, og dels beskriver leverancernes kvalitet og tværgående afhængigheder</w:t>
      </w:r>
      <w:r w:rsidR="00622E09" w:rsidRPr="00AC5579" w:rsidDel="00E910D6">
        <w:t xml:space="preserve"> </w:t>
      </w:r>
      <w:r w:rsidR="00622E09">
        <w:t>.</w:t>
      </w:r>
    </w:p>
    <w:p w:rsidR="00622E09" w:rsidRDefault="00622E09" w:rsidP="00C95126"/>
    <w:p w:rsidR="008A410B" w:rsidRPr="008A410B" w:rsidRDefault="00382620" w:rsidP="008A410B">
      <w:r>
        <w:t>De</w:t>
      </w:r>
      <w:r w:rsidR="00EF1E27">
        <w:t>t er de</w:t>
      </w:r>
      <w:r>
        <w:t xml:space="preserve"> enkelte aftaleparter</w:t>
      </w:r>
      <w:r w:rsidR="00EF1E27">
        <w:t>s ansvar at</w:t>
      </w:r>
      <w:r>
        <w:t xml:space="preserve"> </w:t>
      </w:r>
      <w:r w:rsidR="00EF1E27">
        <w:t>gennemføre</w:t>
      </w:r>
      <w:r w:rsidR="00622E09">
        <w:t xml:space="preserve"> </w:t>
      </w:r>
      <w:r w:rsidR="00773A30">
        <w:t xml:space="preserve"> aftalte </w:t>
      </w:r>
      <w:r w:rsidR="00A910D7" w:rsidRPr="00AC5579">
        <w:t>aktiviteter</w:t>
      </w:r>
      <w:r>
        <w:t xml:space="preserve"> </w:t>
      </w:r>
      <w:r w:rsidR="00EF1E27">
        <w:t>og levere</w:t>
      </w:r>
      <w:r w:rsidR="00622E09">
        <w:t xml:space="preserve"> til programmet </w:t>
      </w:r>
      <w:r>
        <w:t xml:space="preserve">i overensstemmelse med den fælles implementeringsplan. </w:t>
      </w:r>
    </w:p>
    <w:p w:rsidR="00F9542E" w:rsidRPr="00AC5579" w:rsidRDefault="007F546C" w:rsidP="00F9542E">
      <w:pPr>
        <w:pStyle w:val="Overskrift1"/>
      </w:pPr>
      <w:bookmarkStart w:id="36" w:name="_Toc341024642"/>
      <w:r w:rsidRPr="00AC5579">
        <w:lastRenderedPageBreak/>
        <w:t xml:space="preserve">Aktørernes </w:t>
      </w:r>
      <w:r w:rsidR="00A0645A">
        <w:t xml:space="preserve">nuværende </w:t>
      </w:r>
      <w:r w:rsidR="00711018" w:rsidRPr="00AC5579">
        <w:t>opgaver i relation til</w:t>
      </w:r>
      <w:r w:rsidRPr="00AC5579">
        <w:t xml:space="preserve"> programmet</w:t>
      </w:r>
      <w:bookmarkEnd w:id="36"/>
    </w:p>
    <w:p w:rsidR="00711018" w:rsidRPr="00AC5579" w:rsidRDefault="002261C8" w:rsidP="00C33376">
      <w:r w:rsidRPr="00AC5579">
        <w:t>Neden</w:t>
      </w:r>
      <w:r w:rsidR="00711018" w:rsidRPr="00AC5579">
        <w:t xml:space="preserve">for beskrives aktørernes overordnede ansvar i relation til </w:t>
      </w:r>
      <w:r w:rsidR="00267286" w:rsidRPr="00AC5579">
        <w:t>programmet</w:t>
      </w:r>
      <w:r w:rsidR="00711018" w:rsidRPr="00AC5579">
        <w:t xml:space="preserve">s realisering. I </w:t>
      </w:r>
      <w:r w:rsidR="00C33376" w:rsidRPr="00AC5579">
        <w:t>styringsdokuments Bilag 1 gengive</w:t>
      </w:r>
      <w:r w:rsidR="00FC0BE3">
        <w:t>s</w:t>
      </w:r>
      <w:r w:rsidR="00C33376" w:rsidRPr="00AC5579">
        <w:t xml:space="preserve"> flere detaljer om hver enkelt aktørs ansvar med relation til programmets af infrastruktur- og grunddataforbedringer samt evt. procesmæssige konsekvenser.</w:t>
      </w:r>
    </w:p>
    <w:p w:rsidR="002261C8" w:rsidRPr="00AC5579" w:rsidRDefault="002261C8" w:rsidP="002261C8">
      <w:pPr>
        <w:pStyle w:val="Overskrift2"/>
        <w:rPr>
          <w:lang w:val="da-DK"/>
        </w:rPr>
      </w:pPr>
      <w:bookmarkStart w:id="37" w:name="_Ref316993081"/>
      <w:bookmarkStart w:id="38" w:name="_Toc317076674"/>
      <w:bookmarkStart w:id="39" w:name="_Toc317091230"/>
      <w:bookmarkStart w:id="40" w:name="_Toc341024643"/>
      <w:r w:rsidRPr="00AC5579">
        <w:rPr>
          <w:lang w:val="da-DK"/>
        </w:rPr>
        <w:t>Minist</w:t>
      </w:r>
      <w:r w:rsidR="00450061" w:rsidRPr="00AC5579">
        <w:rPr>
          <w:lang w:val="da-DK"/>
        </w:rPr>
        <w:t>e</w:t>
      </w:r>
      <w:r w:rsidRPr="00AC5579">
        <w:rPr>
          <w:lang w:val="da-DK"/>
        </w:rPr>
        <w:t>r</w:t>
      </w:r>
      <w:r w:rsidR="00450061" w:rsidRPr="00AC5579">
        <w:rPr>
          <w:lang w:val="da-DK"/>
        </w:rPr>
        <w:t>i</w:t>
      </w:r>
      <w:r w:rsidRPr="00AC5579">
        <w:rPr>
          <w:lang w:val="da-DK"/>
        </w:rPr>
        <w:t>et for By, Bolig og Landdistrikter</w:t>
      </w:r>
      <w:bookmarkEnd w:id="37"/>
      <w:bookmarkEnd w:id="38"/>
      <w:bookmarkEnd w:id="39"/>
      <w:bookmarkEnd w:id="40"/>
    </w:p>
    <w:p w:rsidR="002261C8" w:rsidRPr="00AC5579" w:rsidRDefault="002261C8" w:rsidP="002261C8">
      <w:pPr>
        <w:rPr>
          <w:b/>
        </w:rPr>
      </w:pPr>
      <w:r w:rsidRPr="00AC5579">
        <w:rPr>
          <w:b/>
        </w:rPr>
        <w:t xml:space="preserve">Overordnet beskrivelse af </w:t>
      </w:r>
      <w:r w:rsidR="00812C1B" w:rsidRPr="00AC5579">
        <w:rPr>
          <w:b/>
        </w:rPr>
        <w:t xml:space="preserve">MBBL’s </w:t>
      </w:r>
      <w:r w:rsidRPr="00AC5579">
        <w:rPr>
          <w:b/>
        </w:rPr>
        <w:t xml:space="preserve">opgaveportefølje med relation til </w:t>
      </w:r>
      <w:r w:rsidR="00267286" w:rsidRPr="00AC5579">
        <w:rPr>
          <w:b/>
        </w:rPr>
        <w:t>programmet</w:t>
      </w:r>
      <w:r w:rsidRPr="00AC5579">
        <w:rPr>
          <w:b/>
        </w:rPr>
        <w:t xml:space="preserve"> </w:t>
      </w:r>
    </w:p>
    <w:p w:rsidR="008724AF" w:rsidRPr="00AC5579" w:rsidRDefault="008724AF" w:rsidP="008971BA">
      <w:pPr>
        <w:numPr>
          <w:ilvl w:val="0"/>
          <w:numId w:val="8"/>
        </w:numPr>
        <w:jc w:val="left"/>
      </w:pPr>
      <w:r w:rsidRPr="00AC5579">
        <w:t>Samordnende myndighed for forenkling af registreringen af oplysninger om fast ejendom mv</w:t>
      </w:r>
      <w:r w:rsidR="00CF7CD7" w:rsidRPr="00AC5579">
        <w:t>.</w:t>
      </w:r>
      <w:r w:rsidR="00FC4610" w:rsidRPr="00AC5579">
        <w:t xml:space="preserve"> </w:t>
      </w:r>
      <w:r w:rsidR="0077381F" w:rsidRPr="00AC5579">
        <w:t>Denne samordningsforpligtelse skal afstemmes med de koordinations- og samordningstiltag</w:t>
      </w:r>
      <w:r w:rsidR="001A5762" w:rsidRPr="00AC5579">
        <w:t>,</w:t>
      </w:r>
      <w:r w:rsidR="0077381F" w:rsidRPr="00AC5579">
        <w:t xml:space="preserve"> der er indeholdt i grunddataprogrammets Governance-initiativ om forpligtende grunddata-samarbejder.</w:t>
      </w:r>
    </w:p>
    <w:p w:rsidR="008D4642" w:rsidRPr="00AC5579" w:rsidRDefault="00345A75" w:rsidP="008971BA">
      <w:pPr>
        <w:numPr>
          <w:ilvl w:val="0"/>
          <w:numId w:val="8"/>
        </w:numPr>
        <w:jc w:val="left"/>
      </w:pPr>
      <w:r w:rsidRPr="00AC5579">
        <w:t>Ansvarlig for den t</w:t>
      </w:r>
      <w:r w:rsidR="008724AF" w:rsidRPr="00AC5579">
        <w:t xml:space="preserve">værgående </w:t>
      </w:r>
      <w:r w:rsidR="00944E4F" w:rsidRPr="00AC5579">
        <w:t>program</w:t>
      </w:r>
      <w:r w:rsidR="008724AF" w:rsidRPr="00AC5579">
        <w:t xml:space="preserve">styring </w:t>
      </w:r>
      <w:r w:rsidR="00944E4F" w:rsidRPr="00AC5579">
        <w:t xml:space="preserve"> og koordination af </w:t>
      </w:r>
      <w:r w:rsidR="008724AF" w:rsidRPr="00AC5579">
        <w:t>implementering</w:t>
      </w:r>
      <w:r w:rsidRPr="00AC5579">
        <w:t>en</w:t>
      </w:r>
      <w:r w:rsidR="008724AF" w:rsidRPr="00AC5579">
        <w:t xml:space="preserve"> af aftalepakken om </w:t>
      </w:r>
      <w:r w:rsidR="007E4401">
        <w:t>Effektiv ejendomsforvaltning</w:t>
      </w:r>
      <w:r w:rsidR="008724AF" w:rsidRPr="00AC5579">
        <w:t xml:space="preserve"> og genbrug af ejendomsdata.</w:t>
      </w:r>
    </w:p>
    <w:p w:rsidR="002261C8" w:rsidRPr="00AC5579" w:rsidRDefault="00D9577C" w:rsidP="008971BA">
      <w:pPr>
        <w:numPr>
          <w:ilvl w:val="0"/>
          <w:numId w:val="8"/>
        </w:numPr>
        <w:jc w:val="left"/>
        <w:rPr>
          <w:szCs w:val="26"/>
        </w:rPr>
      </w:pPr>
      <w:r w:rsidRPr="00AC5579">
        <w:t>Overordnet myndighedsansvar for registreringen af oplysninger om bygninger og boliger i BBR.</w:t>
      </w:r>
    </w:p>
    <w:p w:rsidR="002261C8" w:rsidRPr="00AC5579" w:rsidRDefault="00463D42" w:rsidP="008971BA">
      <w:pPr>
        <w:numPr>
          <w:ilvl w:val="0"/>
          <w:numId w:val="8"/>
        </w:numPr>
        <w:rPr>
          <w:b/>
        </w:rPr>
      </w:pPr>
      <w:r w:rsidRPr="00AC5579">
        <w:t>Ansvaret for drift og udvikling af BBR, herunder at BBR kan fungere som register for autoritative bygnings-, boligdata samt adressedata, i samspil med ejendomsområdets øvrige autoritative registre. Som adresseregister tillige i samspil med CPR og CVR</w:t>
      </w:r>
      <w:r w:rsidR="00697468">
        <w:t>,</w:t>
      </w:r>
      <w:r w:rsidRPr="00AC5579">
        <w:t xml:space="preserve"> grunddata for landinddelinger samt andre offentlige og private forretningssystemer.</w:t>
      </w:r>
    </w:p>
    <w:p w:rsidR="002261C8" w:rsidRPr="00AC5579" w:rsidRDefault="002261C8" w:rsidP="002261C8"/>
    <w:p w:rsidR="002261C8" w:rsidRPr="00AC5579" w:rsidRDefault="002261C8" w:rsidP="002261C8">
      <w:pPr>
        <w:pStyle w:val="Overskrift2"/>
        <w:rPr>
          <w:lang w:val="da-DK"/>
        </w:rPr>
      </w:pPr>
      <w:bookmarkStart w:id="41" w:name="_Ref316993007"/>
      <w:bookmarkStart w:id="42" w:name="_Toc317076675"/>
      <w:bookmarkStart w:id="43" w:name="_Toc317091231"/>
      <w:bookmarkStart w:id="44" w:name="_Toc341024644"/>
      <w:r w:rsidRPr="00AC5579">
        <w:rPr>
          <w:lang w:val="da-DK"/>
        </w:rPr>
        <w:t>Kommunerne</w:t>
      </w:r>
      <w:bookmarkEnd w:id="41"/>
      <w:bookmarkEnd w:id="42"/>
      <w:bookmarkEnd w:id="43"/>
      <w:bookmarkEnd w:id="44"/>
    </w:p>
    <w:p w:rsidR="002261C8" w:rsidRPr="00AC5579" w:rsidRDefault="002261C8" w:rsidP="002261C8">
      <w:pPr>
        <w:rPr>
          <w:b/>
        </w:rPr>
      </w:pPr>
      <w:r w:rsidRPr="00AC5579">
        <w:rPr>
          <w:b/>
        </w:rPr>
        <w:t xml:space="preserve">Overordnet beskrivelse af kommunernes opgaveportefølje </w:t>
      </w:r>
      <w:r w:rsidR="00812C1B" w:rsidRPr="00AC5579">
        <w:rPr>
          <w:b/>
        </w:rPr>
        <w:t xml:space="preserve">med relation til </w:t>
      </w:r>
      <w:r w:rsidR="00267286" w:rsidRPr="00AC5579">
        <w:rPr>
          <w:b/>
        </w:rPr>
        <w:t>programmet</w:t>
      </w:r>
    </w:p>
    <w:p w:rsidR="002261C8" w:rsidRPr="00AC5579" w:rsidRDefault="002261C8" w:rsidP="008971BA">
      <w:pPr>
        <w:numPr>
          <w:ilvl w:val="0"/>
          <w:numId w:val="12"/>
        </w:numPr>
        <w:jc w:val="left"/>
      </w:pPr>
      <w:r w:rsidRPr="00AC5579">
        <w:t>Hovedopgaven er forvaltning af ejendomsskat og bidrag:</w:t>
      </w:r>
    </w:p>
    <w:p w:rsidR="002261C8" w:rsidRPr="00AC5579" w:rsidRDefault="002261C8" w:rsidP="008971BA">
      <w:pPr>
        <w:numPr>
          <w:ilvl w:val="0"/>
          <w:numId w:val="14"/>
        </w:numPr>
        <w:jc w:val="left"/>
      </w:pPr>
      <w:r w:rsidRPr="00AC5579">
        <w:t>Beregning af ejendomsskat og udskrivning af ejendomsskattebilletter</w:t>
      </w:r>
    </w:p>
    <w:p w:rsidR="002261C8" w:rsidRPr="00AC5579" w:rsidRDefault="002261C8" w:rsidP="008971BA">
      <w:pPr>
        <w:numPr>
          <w:ilvl w:val="0"/>
          <w:numId w:val="14"/>
        </w:numPr>
        <w:jc w:val="left"/>
      </w:pPr>
      <w:r w:rsidRPr="00AC5579">
        <w:t>Administration af bidrag (gebyrer og afgifter) der pålignes ejendommen</w:t>
      </w:r>
    </w:p>
    <w:p w:rsidR="002261C8" w:rsidRPr="00AC5579" w:rsidRDefault="002261C8" w:rsidP="008971BA">
      <w:pPr>
        <w:numPr>
          <w:ilvl w:val="0"/>
          <w:numId w:val="14"/>
        </w:numPr>
        <w:jc w:val="left"/>
      </w:pPr>
      <w:r w:rsidRPr="00AC5579">
        <w:t>Administration af dækningsafgift.</w:t>
      </w:r>
    </w:p>
    <w:p w:rsidR="002261C8" w:rsidRPr="00AC5579" w:rsidRDefault="002261C8" w:rsidP="008971BA">
      <w:pPr>
        <w:numPr>
          <w:ilvl w:val="0"/>
          <w:numId w:val="14"/>
        </w:numPr>
        <w:jc w:val="left"/>
      </w:pPr>
      <w:r w:rsidRPr="00AC5579">
        <w:t>Administration af sager om fritagelse.</w:t>
      </w:r>
    </w:p>
    <w:p w:rsidR="002261C8" w:rsidRPr="00AC5579" w:rsidRDefault="002261C8" w:rsidP="008971BA">
      <w:pPr>
        <w:numPr>
          <w:ilvl w:val="0"/>
          <w:numId w:val="12"/>
        </w:numPr>
        <w:jc w:val="left"/>
      </w:pPr>
      <w:r w:rsidRPr="00AC5579">
        <w:t>Myndighedsbehandling af og godkendelse af ansøgninger om matrikulære forandringer iht. bygge-, plan-, vej-, miljø-</w:t>
      </w:r>
      <w:r w:rsidR="006848D0" w:rsidRPr="00AC5579">
        <w:t xml:space="preserve"> og</w:t>
      </w:r>
      <w:r w:rsidRPr="00AC5579">
        <w:t xml:space="preserve"> fredningslovgivningen.</w:t>
      </w:r>
    </w:p>
    <w:p w:rsidR="00E35FF6" w:rsidRPr="00AC5579" w:rsidRDefault="00E35FF6" w:rsidP="008971BA">
      <w:pPr>
        <w:numPr>
          <w:ilvl w:val="0"/>
          <w:numId w:val="12"/>
        </w:numPr>
        <w:jc w:val="left"/>
      </w:pPr>
      <w:r w:rsidRPr="00AC5579">
        <w:t>Myndighedsgodkendelse af</w:t>
      </w:r>
      <w:r w:rsidR="001A5762" w:rsidRPr="00AC5579">
        <w:t xml:space="preserve"> visse </w:t>
      </w:r>
      <w:r w:rsidRPr="00AC5579">
        <w:t xml:space="preserve"> ejerlejlighed</w:t>
      </w:r>
      <w:r w:rsidR="001A5762" w:rsidRPr="00AC5579">
        <w:t xml:space="preserve">sopdelinger i forhold til ejerlejlighedsloven </w:t>
      </w:r>
      <w:r w:rsidR="00B163BB" w:rsidRPr="00AC5579">
        <w:t>og</w:t>
      </w:r>
      <w:r w:rsidR="001A5762" w:rsidRPr="00AC5579">
        <w:t xml:space="preserve"> </w:t>
      </w:r>
      <w:r w:rsidRPr="00AC5579">
        <w:t xml:space="preserve"> </w:t>
      </w:r>
      <w:r w:rsidR="00B163BB" w:rsidRPr="00AC5579">
        <w:t>b</w:t>
      </w:r>
      <w:r w:rsidRPr="00AC5579">
        <w:t xml:space="preserve">oligreguleringsloven </w:t>
      </w:r>
      <w:r w:rsidR="00B163BB" w:rsidRPr="00AC5579">
        <w:t>i kombination med b</w:t>
      </w:r>
      <w:r w:rsidRPr="00AC5579">
        <w:t>yggeloven</w:t>
      </w:r>
      <w:r w:rsidR="00960737" w:rsidRPr="00AC5579">
        <w:t xml:space="preserve"> </w:t>
      </w:r>
      <w:r w:rsidR="001A5762" w:rsidRPr="00AC5579">
        <w:t>(</w:t>
      </w:r>
      <w:r w:rsidR="00B163BB" w:rsidRPr="00AC5579">
        <w:t xml:space="preserve">lovlig </w:t>
      </w:r>
      <w:r w:rsidR="001A5762" w:rsidRPr="00AC5579">
        <w:t>byggesagsstatus)</w:t>
      </w:r>
      <w:r w:rsidRPr="00AC5579">
        <w:t>.</w:t>
      </w:r>
      <w:r w:rsidR="00B163BB" w:rsidRPr="00AC5579">
        <w:t xml:space="preserve"> (Forslaget skal drøftes med KL)</w:t>
      </w:r>
    </w:p>
    <w:p w:rsidR="002261C8" w:rsidRPr="00AC5579" w:rsidRDefault="00960737" w:rsidP="008971BA">
      <w:pPr>
        <w:numPr>
          <w:ilvl w:val="0"/>
          <w:numId w:val="12"/>
        </w:numPr>
        <w:jc w:val="left"/>
      </w:pPr>
      <w:r w:rsidRPr="00AC5579">
        <w:t>Med gennemførelse af aftalen bortfalder kommunale opgaver med registrering af ejendomme og ejerskifter</w:t>
      </w:r>
      <w:r w:rsidR="0054540A" w:rsidRPr="00AC5579">
        <w:t xml:space="preserve"> i ESR</w:t>
      </w:r>
      <w:r w:rsidRPr="00AC5579">
        <w:t>. Desuden bortfalder opgaven med at vedligeholde matrikulære referencer i BBR.</w:t>
      </w:r>
    </w:p>
    <w:p w:rsidR="002261C8" w:rsidRPr="00AC5579" w:rsidRDefault="002261C8" w:rsidP="002261C8">
      <w:pPr>
        <w:rPr>
          <w:b/>
        </w:rPr>
      </w:pPr>
    </w:p>
    <w:p w:rsidR="002261C8" w:rsidRPr="00AC5579" w:rsidRDefault="00533A36" w:rsidP="002261C8">
      <w:pPr>
        <w:pStyle w:val="Overskrift2"/>
        <w:rPr>
          <w:lang w:val="da-DK"/>
        </w:rPr>
      </w:pPr>
      <w:bookmarkStart w:id="45" w:name="_Toc330999030"/>
      <w:bookmarkStart w:id="46" w:name="_Toc331337587"/>
      <w:bookmarkStart w:id="47" w:name="_Toc331337619"/>
      <w:bookmarkStart w:id="48" w:name="_Toc331337669"/>
      <w:bookmarkStart w:id="49" w:name="_Toc330999031"/>
      <w:bookmarkStart w:id="50" w:name="_Toc331337588"/>
      <w:bookmarkStart w:id="51" w:name="_Toc331337620"/>
      <w:bookmarkStart w:id="52" w:name="_Toc331337670"/>
      <w:bookmarkStart w:id="53" w:name="_Toc330999032"/>
      <w:bookmarkStart w:id="54" w:name="_Toc331337589"/>
      <w:bookmarkStart w:id="55" w:name="_Toc331337621"/>
      <w:bookmarkStart w:id="56" w:name="_Toc331337671"/>
      <w:bookmarkEnd w:id="45"/>
      <w:bookmarkEnd w:id="46"/>
      <w:bookmarkEnd w:id="47"/>
      <w:bookmarkEnd w:id="48"/>
      <w:bookmarkEnd w:id="49"/>
      <w:bookmarkEnd w:id="50"/>
      <w:bookmarkEnd w:id="51"/>
      <w:bookmarkEnd w:id="52"/>
      <w:bookmarkEnd w:id="53"/>
      <w:bookmarkEnd w:id="54"/>
      <w:bookmarkEnd w:id="55"/>
      <w:bookmarkEnd w:id="56"/>
      <w:r>
        <w:rPr>
          <w:lang w:val="da-DK"/>
        </w:rPr>
        <w:t>Geodatastyrelsen</w:t>
      </w:r>
    </w:p>
    <w:p w:rsidR="002261C8" w:rsidRPr="00AC5579" w:rsidRDefault="002261C8" w:rsidP="002261C8">
      <w:pPr>
        <w:rPr>
          <w:b/>
        </w:rPr>
      </w:pPr>
      <w:r w:rsidRPr="00AC5579">
        <w:rPr>
          <w:b/>
        </w:rPr>
        <w:t xml:space="preserve">Overordnet beskrivelse af </w:t>
      </w:r>
      <w:r w:rsidR="00DE2785">
        <w:rPr>
          <w:b/>
        </w:rPr>
        <w:t>GST</w:t>
      </w:r>
      <w:r w:rsidRPr="00AC5579">
        <w:rPr>
          <w:b/>
        </w:rPr>
        <w:t xml:space="preserve">’s opgaveportefølje </w:t>
      </w:r>
      <w:r w:rsidR="00591706" w:rsidRPr="00AC5579">
        <w:rPr>
          <w:b/>
        </w:rPr>
        <w:t>med</w:t>
      </w:r>
      <w:r w:rsidRPr="00AC5579">
        <w:rPr>
          <w:b/>
        </w:rPr>
        <w:t xml:space="preserve"> </w:t>
      </w:r>
      <w:r w:rsidR="00591706" w:rsidRPr="00AC5579">
        <w:rPr>
          <w:b/>
        </w:rPr>
        <w:t xml:space="preserve">relation til </w:t>
      </w:r>
      <w:r w:rsidR="00267286" w:rsidRPr="00AC5579">
        <w:rPr>
          <w:b/>
        </w:rPr>
        <w:t>programmet</w:t>
      </w:r>
    </w:p>
    <w:p w:rsidR="002261C8" w:rsidRPr="00AC5579" w:rsidRDefault="002261C8" w:rsidP="008971BA">
      <w:pPr>
        <w:numPr>
          <w:ilvl w:val="0"/>
          <w:numId w:val="12"/>
        </w:numPr>
        <w:jc w:val="left"/>
      </w:pPr>
      <w:r w:rsidRPr="00AC5579">
        <w:lastRenderedPageBreak/>
        <w:t>Kontrol og prøvelse (godkendelse) af matrikulære forandringer.</w:t>
      </w:r>
    </w:p>
    <w:p w:rsidR="002261C8" w:rsidRPr="00AC5579" w:rsidRDefault="002261C8" w:rsidP="008971BA">
      <w:pPr>
        <w:numPr>
          <w:ilvl w:val="0"/>
          <w:numId w:val="12"/>
        </w:numPr>
        <w:jc w:val="left"/>
      </w:pPr>
      <w:r w:rsidRPr="00AC5579">
        <w:t>Registrering af matrikulære forandringer i Matriklen.</w:t>
      </w:r>
    </w:p>
    <w:p w:rsidR="002261C8" w:rsidRPr="00AC5579" w:rsidRDefault="002261C8" w:rsidP="008971BA">
      <w:pPr>
        <w:numPr>
          <w:ilvl w:val="0"/>
          <w:numId w:val="12"/>
        </w:numPr>
        <w:jc w:val="left"/>
      </w:pPr>
      <w:r w:rsidRPr="00AC5579">
        <w:t xml:space="preserve">Med gennemførelse af </w:t>
      </w:r>
      <w:r w:rsidR="00267286" w:rsidRPr="00AC5579">
        <w:t>programmet</w:t>
      </w:r>
      <w:r w:rsidRPr="00AC5579">
        <w:t xml:space="preserve"> vil kontrol, prøvelse og registrering i Matriklen også omfatte ejerlejligheder og bygninger på </w:t>
      </w:r>
      <w:r w:rsidR="00057ECA" w:rsidRPr="00AC5579">
        <w:t>fremmed</w:t>
      </w:r>
      <w:r w:rsidRPr="00AC5579">
        <w:t xml:space="preserve"> grund.</w:t>
      </w:r>
    </w:p>
    <w:p w:rsidR="00CE4488" w:rsidRPr="00AC5579" w:rsidRDefault="0054540A" w:rsidP="008971BA">
      <w:pPr>
        <w:numPr>
          <w:ilvl w:val="0"/>
          <w:numId w:val="12"/>
        </w:numPr>
        <w:jc w:val="left"/>
      </w:pPr>
      <w:r w:rsidRPr="00AC5579">
        <w:t>Etablering af ny snitflade mod praktiserende landinspektører for modtagelse af oplysninger om ejendomsændringer.</w:t>
      </w:r>
    </w:p>
    <w:p w:rsidR="002261C8" w:rsidRPr="00AC5579" w:rsidRDefault="002261C8" w:rsidP="002261C8"/>
    <w:p w:rsidR="002261C8" w:rsidRPr="00AC5579" w:rsidRDefault="002261C8" w:rsidP="002261C8">
      <w:pPr>
        <w:pStyle w:val="Overskrift2"/>
        <w:rPr>
          <w:lang w:val="da-DK"/>
        </w:rPr>
      </w:pPr>
      <w:bookmarkStart w:id="57" w:name="_Ref316908183"/>
      <w:bookmarkStart w:id="58" w:name="_Ref316993060"/>
      <w:bookmarkStart w:id="59" w:name="_Toc317076677"/>
      <w:bookmarkStart w:id="60" w:name="_Toc317091233"/>
      <w:bookmarkStart w:id="61" w:name="_Toc341024646"/>
      <w:r w:rsidRPr="00AC5579">
        <w:rPr>
          <w:lang w:val="da-DK"/>
        </w:rPr>
        <w:t>Skat</w:t>
      </w:r>
      <w:bookmarkEnd w:id="57"/>
      <w:bookmarkEnd w:id="58"/>
      <w:bookmarkEnd w:id="59"/>
      <w:bookmarkEnd w:id="60"/>
      <w:bookmarkEnd w:id="61"/>
    </w:p>
    <w:p w:rsidR="00E910D6" w:rsidRDefault="00C1612E" w:rsidP="005B3827">
      <w:r>
        <w:t xml:space="preserve">Ved programmets begyndelse står </w:t>
      </w:r>
      <w:r w:rsidR="005B3827" w:rsidRPr="00AC5579">
        <w:t>SKAT uden for aftalen</w:t>
      </w:r>
      <w:r w:rsidR="00E910D6">
        <w:t xml:space="preserve"> og ha</w:t>
      </w:r>
      <w:r w:rsidR="00E910D6" w:rsidRPr="00AC5579">
        <w:t>r ikke truffet beslutning om tidspunkt og omfang for modernisering af vurderingssystemerne VUR/SVUR.</w:t>
      </w:r>
    </w:p>
    <w:p w:rsidR="00E910D6" w:rsidRDefault="00E910D6" w:rsidP="005B3827"/>
    <w:p w:rsidR="005B3827" w:rsidRPr="00AC5579" w:rsidRDefault="00E910D6" w:rsidP="005B3827">
      <w:r>
        <w:t>Programmet f</w:t>
      </w:r>
      <w:r w:rsidR="005B3827" w:rsidRPr="00AC5579">
        <w:t>å</w:t>
      </w:r>
      <w:r>
        <w:t>r</w:t>
      </w:r>
      <w:r w:rsidR="005B3827" w:rsidRPr="00AC5579">
        <w:t xml:space="preserve"> konsekvenser for den måde SKAT fremover skal gennemføre ejendomsvurderingerne på. </w:t>
      </w:r>
    </w:p>
    <w:p w:rsidR="005B3827" w:rsidRPr="00AC5579" w:rsidRDefault="005B3827" w:rsidP="009D6325"/>
    <w:p w:rsidR="002261C8" w:rsidRPr="00AC5579" w:rsidRDefault="002261C8" w:rsidP="002261C8">
      <w:pPr>
        <w:rPr>
          <w:b/>
        </w:rPr>
      </w:pPr>
      <w:r w:rsidRPr="00AC5579">
        <w:rPr>
          <w:b/>
        </w:rPr>
        <w:t xml:space="preserve">Overordnet beskrivelse af SKATs opgaveportefølje </w:t>
      </w:r>
      <w:r w:rsidR="00591706" w:rsidRPr="00AC5579">
        <w:rPr>
          <w:b/>
        </w:rPr>
        <w:t>med</w:t>
      </w:r>
      <w:r w:rsidRPr="00AC5579">
        <w:rPr>
          <w:b/>
        </w:rPr>
        <w:t xml:space="preserve"> </w:t>
      </w:r>
      <w:r w:rsidR="00591706" w:rsidRPr="00AC5579">
        <w:rPr>
          <w:b/>
        </w:rPr>
        <w:t xml:space="preserve">relation til </w:t>
      </w:r>
      <w:r w:rsidR="00267286" w:rsidRPr="00AC5579">
        <w:rPr>
          <w:b/>
        </w:rPr>
        <w:t>programmet</w:t>
      </w:r>
    </w:p>
    <w:p w:rsidR="002261C8" w:rsidRPr="00AC5579" w:rsidRDefault="002261C8" w:rsidP="008971BA">
      <w:pPr>
        <w:numPr>
          <w:ilvl w:val="0"/>
          <w:numId w:val="12"/>
        </w:numPr>
        <w:jc w:val="left"/>
      </w:pPr>
      <w:r w:rsidRPr="00AC5579">
        <w:t>Hovedopgaverne er:</w:t>
      </w:r>
    </w:p>
    <w:p w:rsidR="002261C8" w:rsidRPr="00AC5579" w:rsidRDefault="002261C8" w:rsidP="008971BA">
      <w:pPr>
        <w:numPr>
          <w:ilvl w:val="1"/>
          <w:numId w:val="12"/>
        </w:numPr>
        <w:jc w:val="left"/>
      </w:pPr>
      <w:r w:rsidRPr="00AC5579">
        <w:t>Almindelig vurdering med tilretning af vurderingsgrundlag og beregning af ejendomsvurdering</w:t>
      </w:r>
    </w:p>
    <w:p w:rsidR="002261C8" w:rsidRDefault="002261C8" w:rsidP="008971BA">
      <w:pPr>
        <w:numPr>
          <w:ilvl w:val="1"/>
          <w:numId w:val="12"/>
        </w:numPr>
        <w:jc w:val="left"/>
      </w:pPr>
      <w:r w:rsidRPr="00AC5579">
        <w:t>Klagesagsbehandling vedrørende ejendomsvurdering</w:t>
      </w:r>
    </w:p>
    <w:p w:rsidR="00E83DB2" w:rsidRPr="00AC5579" w:rsidRDefault="00E83DB2" w:rsidP="00E83DB2">
      <w:pPr>
        <w:numPr>
          <w:ilvl w:val="1"/>
          <w:numId w:val="12"/>
        </w:numPr>
        <w:jc w:val="left"/>
      </w:pPr>
      <w:r w:rsidRPr="00AC5579">
        <w:t>Behandling af ansøgning om samvurdering og tilsvarende ophævelse af samvurdering</w:t>
      </w:r>
    </w:p>
    <w:p w:rsidR="002261C8" w:rsidRPr="00AC5579" w:rsidRDefault="002261C8" w:rsidP="008971BA">
      <w:pPr>
        <w:numPr>
          <w:ilvl w:val="0"/>
          <w:numId w:val="12"/>
        </w:numPr>
        <w:jc w:val="left"/>
      </w:pPr>
      <w:r w:rsidRPr="00AC5579">
        <w:t>På foranledning af kommunerne foretager SKAT:</w:t>
      </w:r>
    </w:p>
    <w:p w:rsidR="00E83DB2" w:rsidRPr="007074FD" w:rsidRDefault="00E83DB2" w:rsidP="007074FD">
      <w:pPr>
        <w:numPr>
          <w:ilvl w:val="1"/>
          <w:numId w:val="12"/>
        </w:numPr>
        <w:jc w:val="left"/>
      </w:pPr>
      <w:r w:rsidRPr="007074FD">
        <w:t xml:space="preserve">Fordelinger af ejendomsværdi, grundværdi, eventuelt fradrag i grundværdien for forbedringer og eventuelt differencebeløb, som i øvrigt er fornødne til gennemførelsen af bestemmelser i loven om beskatning til kommunerne af faste ejendomme, loven om lån til betaling af ejendomsskatter og loven om frigørelsesafgift m.v. af fast ejendom. </w:t>
      </w:r>
    </w:p>
    <w:p w:rsidR="002261C8" w:rsidRPr="00AC5579" w:rsidRDefault="002261C8" w:rsidP="008971BA">
      <w:pPr>
        <w:numPr>
          <w:ilvl w:val="1"/>
          <w:numId w:val="12"/>
        </w:numPr>
        <w:jc w:val="left"/>
      </w:pPr>
      <w:r w:rsidRPr="00AC5579">
        <w:t>Håndtering af agterskrivelser ved kommunal beslutning om dækningsafgift og genoptagelse af vurdering ved ændringer i dækningsafgift</w:t>
      </w:r>
    </w:p>
    <w:p w:rsidR="002261C8" w:rsidRPr="00AC5579" w:rsidRDefault="002261C8" w:rsidP="008971BA">
      <w:pPr>
        <w:numPr>
          <w:ilvl w:val="1"/>
          <w:numId w:val="12"/>
        </w:numPr>
        <w:jc w:val="left"/>
      </w:pPr>
      <w:r w:rsidRPr="00AC5579">
        <w:t>Behandle varslinger ved fritagelse for ejendomsskat</w:t>
      </w:r>
    </w:p>
    <w:p w:rsidR="00275D8A" w:rsidRPr="00AC5579" w:rsidRDefault="00275D8A" w:rsidP="008971BA">
      <w:pPr>
        <w:numPr>
          <w:ilvl w:val="0"/>
          <w:numId w:val="12"/>
        </w:numPr>
        <w:jc w:val="left"/>
      </w:pPr>
      <w:r w:rsidRPr="00AC5579">
        <w:t>Stiller vurderingsoplysninger til rådighed for:</w:t>
      </w:r>
    </w:p>
    <w:p w:rsidR="00275D8A" w:rsidRPr="00AC5579" w:rsidRDefault="00275D8A" w:rsidP="008971BA">
      <w:pPr>
        <w:numPr>
          <w:ilvl w:val="1"/>
          <w:numId w:val="12"/>
        </w:numPr>
        <w:jc w:val="left"/>
      </w:pPr>
      <w:r w:rsidRPr="00AC5579">
        <w:t>Kommunerne til brug for beregning af ejendomsskat.</w:t>
      </w:r>
    </w:p>
    <w:p w:rsidR="00275D8A" w:rsidRPr="00AC5579" w:rsidRDefault="00275D8A" w:rsidP="008971BA">
      <w:pPr>
        <w:numPr>
          <w:ilvl w:val="1"/>
          <w:numId w:val="12"/>
        </w:numPr>
        <w:jc w:val="left"/>
      </w:pPr>
      <w:r w:rsidRPr="00AC5579">
        <w:t>MBBL mhp. videre distribution via OIS.</w:t>
      </w:r>
    </w:p>
    <w:p w:rsidR="002261C8" w:rsidRPr="00AC5579" w:rsidRDefault="002261C8" w:rsidP="002261C8"/>
    <w:p w:rsidR="002261C8" w:rsidRPr="00AC5579" w:rsidRDefault="005B5212" w:rsidP="002261C8">
      <w:pPr>
        <w:pStyle w:val="Overskrift2"/>
        <w:rPr>
          <w:lang w:val="da-DK"/>
        </w:rPr>
      </w:pPr>
      <w:bookmarkStart w:id="62" w:name="_Toc341024647"/>
      <w:r w:rsidRPr="00AC5579">
        <w:rPr>
          <w:lang w:val="da-DK"/>
        </w:rPr>
        <w:t>Domstolsstyrelsen</w:t>
      </w:r>
      <w:bookmarkEnd w:id="62"/>
    </w:p>
    <w:p w:rsidR="00EF60FC" w:rsidRPr="00AC5579" w:rsidRDefault="00EF60FC" w:rsidP="00EF60FC">
      <w:pPr>
        <w:rPr>
          <w:b/>
        </w:rPr>
      </w:pPr>
      <w:r w:rsidRPr="00AC5579">
        <w:rPr>
          <w:b/>
        </w:rPr>
        <w:t xml:space="preserve">Overordnet beskrivelse af </w:t>
      </w:r>
      <w:r w:rsidR="005B5212" w:rsidRPr="00AC5579">
        <w:rPr>
          <w:b/>
        </w:rPr>
        <w:t>Domstolsstyrelsen</w:t>
      </w:r>
      <w:r w:rsidRPr="00AC5579">
        <w:rPr>
          <w:b/>
        </w:rPr>
        <w:t xml:space="preserve"> opgaveportefølje med relation til </w:t>
      </w:r>
      <w:r w:rsidR="00267286" w:rsidRPr="00AC5579">
        <w:rPr>
          <w:b/>
        </w:rPr>
        <w:t>programmet</w:t>
      </w:r>
    </w:p>
    <w:p w:rsidR="0087180C" w:rsidRPr="00AC5579" w:rsidRDefault="0087180C" w:rsidP="008971BA">
      <w:pPr>
        <w:numPr>
          <w:ilvl w:val="0"/>
          <w:numId w:val="12"/>
        </w:numPr>
        <w:jc w:val="left"/>
      </w:pPr>
      <w:r w:rsidRPr="00AC5579">
        <w:t>Modtagelse og prøvelse (godkendelse) af anmeldelser om tinglysning af rettigheder over fast ejendom.</w:t>
      </w:r>
    </w:p>
    <w:p w:rsidR="0087180C" w:rsidRPr="00AC5579" w:rsidRDefault="00227E24" w:rsidP="008971BA">
      <w:pPr>
        <w:numPr>
          <w:ilvl w:val="0"/>
          <w:numId w:val="12"/>
        </w:numPr>
        <w:jc w:val="left"/>
      </w:pPr>
      <w:r w:rsidRPr="00AC5579">
        <w:t>Registrering (tinglysning) af rettigheder over fast ejendom i tingbogen.</w:t>
      </w:r>
    </w:p>
    <w:p w:rsidR="0087180C" w:rsidRPr="00AC5579" w:rsidRDefault="0087180C" w:rsidP="008971BA">
      <w:pPr>
        <w:numPr>
          <w:ilvl w:val="0"/>
          <w:numId w:val="12"/>
        </w:numPr>
        <w:jc w:val="left"/>
      </w:pPr>
      <w:r w:rsidRPr="00AC5579">
        <w:t xml:space="preserve">Med gennemførelse af </w:t>
      </w:r>
      <w:r w:rsidR="00267286" w:rsidRPr="00AC5579">
        <w:t>programmet</w:t>
      </w:r>
      <w:r w:rsidRPr="00AC5579">
        <w:t xml:space="preserve"> vil </w:t>
      </w:r>
      <w:r w:rsidR="00227E24" w:rsidRPr="00AC5579">
        <w:t>Tinglysningsretten også f</w:t>
      </w:r>
      <w:r w:rsidR="00B530EC" w:rsidRPr="00AC5579">
        <w:t>å</w:t>
      </w:r>
      <w:r w:rsidR="00227E24" w:rsidRPr="00AC5579">
        <w:t xml:space="preserve"> ansvaret for Ejerfortegnelsen.</w:t>
      </w:r>
    </w:p>
    <w:p w:rsidR="002261C8" w:rsidRPr="00AC5579" w:rsidRDefault="0038719B" w:rsidP="007F546C">
      <w:pPr>
        <w:pStyle w:val="Overskrift1"/>
      </w:pPr>
      <w:bookmarkStart w:id="63" w:name="_Toc341024648"/>
      <w:bookmarkStart w:id="64" w:name="_Ref341083142"/>
      <w:r w:rsidRPr="00AC5579">
        <w:lastRenderedPageBreak/>
        <w:t>Principper for implementeringen</w:t>
      </w:r>
      <w:bookmarkEnd w:id="63"/>
      <w:bookmarkEnd w:id="64"/>
    </w:p>
    <w:p w:rsidR="007F6C7E" w:rsidRPr="00AC5579" w:rsidRDefault="00F34F4C" w:rsidP="009C578E">
      <w:r w:rsidRPr="00AC5579">
        <w:t>Programmet vil udarbejde en f</w:t>
      </w:r>
      <w:r w:rsidR="00F420E2" w:rsidRPr="00AC5579">
        <w:t>ælles implementeringsplan</w:t>
      </w:r>
      <w:r w:rsidRPr="00AC5579">
        <w:t>, der</w:t>
      </w:r>
      <w:r w:rsidR="00F420E2" w:rsidRPr="00AC5579">
        <w:t xml:space="preserve"> har til formål at give</w:t>
      </w:r>
      <w:r w:rsidR="00D24A90" w:rsidRPr="00AC5579">
        <w:t xml:space="preserve"> en samlet </w:t>
      </w:r>
      <w:r w:rsidR="00A17A36" w:rsidRPr="00AC5579">
        <w:t xml:space="preserve">oversigt over </w:t>
      </w:r>
      <w:r w:rsidR="00267286" w:rsidRPr="00AC5579">
        <w:t>programmet</w:t>
      </w:r>
      <w:r w:rsidR="00D24A90" w:rsidRPr="00AC5579">
        <w:t xml:space="preserve">s gennemførelse. </w:t>
      </w:r>
      <w:r w:rsidR="00A6120B">
        <w:t xml:space="preserve">Projekter med tilhørende leverancer </w:t>
      </w:r>
      <w:r w:rsidR="00622E09">
        <w:t>samles i</w:t>
      </w:r>
      <w:r w:rsidR="00A6120B">
        <w:t xml:space="preserve"> implementeringsplan</w:t>
      </w:r>
      <w:r w:rsidR="00622E09">
        <w:t xml:space="preserve">en. </w:t>
      </w:r>
      <w:r w:rsidR="00A17A36" w:rsidRPr="00AC5579">
        <w:t xml:space="preserve">Planen medtager såvel aktiviteter, hvor den enkelte aftalepartner har det fulde implementeringsansvar, som aktiviteter af tværgående art. Planen </w:t>
      </w:r>
      <w:r w:rsidR="0088017E" w:rsidRPr="00AC5579">
        <w:t xml:space="preserve">prioriterer </w:t>
      </w:r>
      <w:r w:rsidR="00A17A36" w:rsidRPr="00AC5579">
        <w:t xml:space="preserve">det tværgående hvorfor </w:t>
      </w:r>
      <w:r w:rsidR="0045596C" w:rsidRPr="00AC5579">
        <w:t xml:space="preserve">der </w:t>
      </w:r>
      <w:r w:rsidR="0088017E" w:rsidRPr="00AC5579">
        <w:t xml:space="preserve">er mindre fokus på </w:t>
      </w:r>
      <w:r w:rsidR="007F6C7E" w:rsidRPr="00AC5579">
        <w:t xml:space="preserve">detaljer, </w:t>
      </w:r>
      <w:r w:rsidR="0045596C" w:rsidRPr="00AC5579">
        <w:t xml:space="preserve">som </w:t>
      </w:r>
      <w:r w:rsidR="007F6C7E" w:rsidRPr="00AC5579">
        <w:t xml:space="preserve"> alene har</w:t>
      </w:r>
      <w:r w:rsidR="00A17A36" w:rsidRPr="00AC5579">
        <w:t xml:space="preserve"> forretningsmæssig betydning</w:t>
      </w:r>
      <w:r w:rsidRPr="00AC5579">
        <w:t xml:space="preserve"> for den enkelte aftalepart</w:t>
      </w:r>
      <w:r w:rsidR="0088017E" w:rsidRPr="00AC5579">
        <w:t>.</w:t>
      </w:r>
    </w:p>
    <w:p w:rsidR="007F6C7E" w:rsidRPr="00AC5579" w:rsidRDefault="007F6C7E" w:rsidP="009C578E"/>
    <w:p w:rsidR="005B59BE" w:rsidRPr="00AC5579" w:rsidRDefault="005B59BE" w:rsidP="009C578E">
      <w:r w:rsidRPr="00AC5579">
        <w:t xml:space="preserve">Den fælles implementeringsplan er </w:t>
      </w:r>
      <w:r w:rsidR="00A6120B">
        <w:t>d</w:t>
      </w:r>
      <w:r w:rsidRPr="00AC5579">
        <w:t>et central</w:t>
      </w:r>
      <w:r w:rsidR="00A6120B">
        <w:t>e</w:t>
      </w:r>
      <w:r w:rsidRPr="00AC5579">
        <w:t xml:space="preserve"> styrings</w:t>
      </w:r>
      <w:r w:rsidR="00A6120B">
        <w:t>grundlag</w:t>
      </w:r>
      <w:r w:rsidRPr="00AC5579">
        <w:t xml:space="preserve"> for det samlede program. Aftaleparterne er således forpligtet i forhold til de leverancer og tidsfrister</w:t>
      </w:r>
      <w:r w:rsidR="00574DA8" w:rsidRPr="00AC5579">
        <w:t>,</w:t>
      </w:r>
      <w:r w:rsidRPr="00AC5579">
        <w:t xml:space="preserve"> der er meldt ind til implementeringsplanen.</w:t>
      </w:r>
    </w:p>
    <w:p w:rsidR="005B59BE" w:rsidRPr="00AC5579" w:rsidRDefault="005B59BE" w:rsidP="009C578E"/>
    <w:p w:rsidR="00D24A90" w:rsidRPr="00AC5579" w:rsidRDefault="00C03F66" w:rsidP="009C578E">
      <w:r w:rsidRPr="00AC5579">
        <w:t>I d</w:t>
      </w:r>
      <w:r w:rsidR="005B59BE" w:rsidRPr="00AC5579">
        <w:t>en fælle</w:t>
      </w:r>
      <w:r w:rsidRPr="00AC5579">
        <w:t>s implementeringsplan fastlægges</w:t>
      </w:r>
      <w:r w:rsidR="005B59BE" w:rsidRPr="00AC5579">
        <w:t xml:space="preserve"> </w:t>
      </w:r>
      <w:r w:rsidR="002B0351" w:rsidRPr="00AC5579">
        <w:t xml:space="preserve">implementeringsrækkefølgen </w:t>
      </w:r>
      <w:r w:rsidR="00E77593" w:rsidRPr="00AC5579">
        <w:t xml:space="preserve">af de aktiviteter, som skaber afhængigheder hos andre aktører. </w:t>
      </w:r>
      <w:r w:rsidR="002B0351" w:rsidRPr="00AC5579">
        <w:t xml:space="preserve">Eksempler på </w:t>
      </w:r>
      <w:r w:rsidR="00260023" w:rsidRPr="00AC5579">
        <w:t xml:space="preserve">aktiviteter, som kan være årsag til flaskehalsproblemer, </w:t>
      </w:r>
      <w:r w:rsidR="002B0351" w:rsidRPr="00AC5579">
        <w:t>er:</w:t>
      </w:r>
    </w:p>
    <w:p w:rsidR="00AF14E7" w:rsidRDefault="002B0351" w:rsidP="008971BA">
      <w:pPr>
        <w:numPr>
          <w:ilvl w:val="0"/>
          <w:numId w:val="27"/>
        </w:numPr>
      </w:pPr>
      <w:r w:rsidRPr="00AC5579">
        <w:t>Fastlæggelse af</w:t>
      </w:r>
      <w:r w:rsidR="00AF14E7">
        <w:t xml:space="preserve"> fælles arkitekturmål og datamodel med aftalte systemsnitflader som grundlag for kravspecifikation og udvikling af moderniserede grunddataregistre mv.</w:t>
      </w:r>
    </w:p>
    <w:p w:rsidR="002B0351" w:rsidRPr="00AC5579" w:rsidRDefault="00260023" w:rsidP="008971BA">
      <w:pPr>
        <w:numPr>
          <w:ilvl w:val="0"/>
          <w:numId w:val="27"/>
        </w:numPr>
        <w:jc w:val="left"/>
      </w:pPr>
      <w:r w:rsidRPr="00AC5579">
        <w:t>Datavask</w:t>
      </w:r>
      <w:r w:rsidR="002B0351" w:rsidRPr="00AC5579">
        <w:t xml:space="preserve"> og migrering af ejendomsdata fra eksisterende registre til de moderniserede grunddataregistre.</w:t>
      </w:r>
      <w:r w:rsidR="00CB71C0" w:rsidRPr="00AC5579">
        <w:t xml:space="preserve"> </w:t>
      </w:r>
    </w:p>
    <w:p w:rsidR="002B0351" w:rsidRPr="00AC5579" w:rsidRDefault="002B0351" w:rsidP="007746A1"/>
    <w:p w:rsidR="00574DA8" w:rsidRDefault="00574DA8" w:rsidP="00574DA8">
      <w:r w:rsidRPr="00AC5579">
        <w:t xml:space="preserve">Den fælles implementeringsplan </w:t>
      </w:r>
      <w:r w:rsidR="0088017E" w:rsidRPr="00AC5579">
        <w:t xml:space="preserve">skal </w:t>
      </w:r>
      <w:r w:rsidR="003459C2">
        <w:t>sætte de overordnede rammer for</w:t>
      </w:r>
      <w:r w:rsidR="003459C2" w:rsidRPr="00AC5579">
        <w:t xml:space="preserve"> </w:t>
      </w:r>
      <w:r w:rsidR="0088017E" w:rsidRPr="00AC5579">
        <w:t xml:space="preserve">den </w:t>
      </w:r>
      <w:r w:rsidRPr="00AC5579">
        <w:t xml:space="preserve"> arbejdspla</w:t>
      </w:r>
      <w:r w:rsidR="000F0F39" w:rsidRPr="00AC5579">
        <w:t xml:space="preserve">nlægning, som er nødvendig for aftaleparternes </w:t>
      </w:r>
      <w:r w:rsidRPr="00AC5579">
        <w:t>styring</w:t>
      </w:r>
      <w:r w:rsidR="000F0F39" w:rsidRPr="00AC5579">
        <w:t xml:space="preserve"> </w:t>
      </w:r>
      <w:r w:rsidR="007746A1" w:rsidRPr="00AC5579">
        <w:t>af</w:t>
      </w:r>
      <w:r w:rsidRPr="00AC5579">
        <w:t xml:space="preserve">  egne </w:t>
      </w:r>
      <w:r w:rsidR="0088017E" w:rsidRPr="00AC5579">
        <w:t xml:space="preserve">projekter.  Den fælles implementeringsplan </w:t>
      </w:r>
      <w:r w:rsidR="0045596C" w:rsidRPr="00AC5579">
        <w:t>skal sikre og dokumentere</w:t>
      </w:r>
      <w:r w:rsidR="00622E09">
        <w:t>,</w:t>
      </w:r>
      <w:r w:rsidR="0045596C" w:rsidRPr="00AC5579">
        <w:t xml:space="preserve"> </w:t>
      </w:r>
      <w:r w:rsidRPr="00AC5579">
        <w:t>at aftaleparternes egne</w:t>
      </w:r>
      <w:r w:rsidR="006D093E" w:rsidRPr="00AC5579">
        <w:t>/interne</w:t>
      </w:r>
      <w:r w:rsidRPr="00AC5579">
        <w:t xml:space="preserve"> implementeringsplaner er </w:t>
      </w:r>
      <w:r w:rsidR="000F0F39" w:rsidRPr="00AC5579">
        <w:t xml:space="preserve">koordineret </w:t>
      </w:r>
      <w:r w:rsidR="006D093E" w:rsidRPr="00AC5579">
        <w:t>indbyrdes</w:t>
      </w:r>
      <w:r w:rsidRPr="00AC5579">
        <w:t>.</w:t>
      </w:r>
    </w:p>
    <w:p w:rsidR="00A6120B" w:rsidRDefault="00A6120B" w:rsidP="00574DA8"/>
    <w:p w:rsidR="00A6120B" w:rsidRDefault="00A6120B" w:rsidP="00A6120B">
      <w:r>
        <w:t>På programniveau er der behov for en løbende indsigt i fremdriften ift. de aftalte leverancer. Dette skyldes bl.a., at en forsinkelse hos en aftalepartner kan have konsekvense</w:t>
      </w:r>
      <w:r w:rsidR="00622E09">
        <w:t>r for projekter og aktiviteter</w:t>
      </w:r>
      <w:r>
        <w:t xml:space="preserve"> hos en anden aftalepartner. Der er derfor behov for en løbende opfølgning på fremdriften – specielt ift. om produkterne når i mål i re</w:t>
      </w:r>
      <w:r w:rsidR="00622E09">
        <w:t>tte kvalitet til aftalt tidsfrist</w:t>
      </w:r>
      <w:r>
        <w:t>.</w:t>
      </w:r>
      <w:r w:rsidR="00622E09">
        <w:t xml:space="preserve"> </w:t>
      </w:r>
      <w:r>
        <w:t>Der vil naturligvis være behov for en række andre styringselementer – Business case, budgetter og budgetopfølgning, ressourceallokering m.m. – ligesom det enkelte projekt også vil have behov for forskellige styringsredskaber jf. Statens projektmodel.</w:t>
      </w:r>
    </w:p>
    <w:p w:rsidR="00A6120B" w:rsidRDefault="00A6120B" w:rsidP="00574DA8"/>
    <w:p w:rsidR="00A6120B" w:rsidRPr="00AC5579" w:rsidRDefault="00A6120B" w:rsidP="00574DA8"/>
    <w:p w:rsidR="00170D27" w:rsidRPr="00AC5579" w:rsidRDefault="00CB44DA" w:rsidP="009C578E">
      <w:pPr>
        <w:pStyle w:val="Overskrift2"/>
        <w:rPr>
          <w:lang w:val="da-DK"/>
        </w:rPr>
      </w:pPr>
      <w:bookmarkStart w:id="65" w:name="_Toc341024649"/>
      <w:bookmarkStart w:id="66" w:name="_Ref341083191"/>
      <w:r w:rsidRPr="00AC5579">
        <w:rPr>
          <w:lang w:val="da-DK"/>
        </w:rPr>
        <w:t>Hoved</w:t>
      </w:r>
      <w:r w:rsidR="00170D27" w:rsidRPr="00AC5579">
        <w:rPr>
          <w:lang w:val="da-DK"/>
        </w:rPr>
        <w:t>tidsplan</w:t>
      </w:r>
      <w:bookmarkEnd w:id="65"/>
      <w:bookmarkEnd w:id="66"/>
    </w:p>
    <w:p w:rsidR="00F065FD" w:rsidRDefault="00F065FD" w:rsidP="007746A1">
      <w:r>
        <w:t xml:space="preserve">Den overordnede implementeringsplan for hele grunddataprogrammet har fastlagt hovedmilepælene for realisering af delaftale 1 og for datafordeleren (delaftale 7), som </w:t>
      </w:r>
      <w:r w:rsidR="008D5E74">
        <w:t>programmet er afhængig af.</w:t>
      </w:r>
    </w:p>
    <w:p w:rsidR="00F065FD" w:rsidRDefault="00F065FD" w:rsidP="007746A1"/>
    <w:p w:rsidR="00B911E8" w:rsidRDefault="005F4924" w:rsidP="00B911E8">
      <w:pPr>
        <w:keepNext/>
      </w:pPr>
      <w:r>
        <w:rPr>
          <w:noProof/>
        </w:rPr>
        <w:lastRenderedPageBreak/>
        <w:drawing>
          <wp:inline distT="0" distB="0" distL="0" distR="0" wp14:anchorId="53440DA6">
            <wp:extent cx="3943350" cy="2466975"/>
            <wp:effectExtent l="0" t="0" r="0" b="9525"/>
            <wp:docPr id="4"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350" cy="2466975"/>
                    </a:xfrm>
                    <a:prstGeom prst="rect">
                      <a:avLst/>
                    </a:prstGeom>
                    <a:noFill/>
                    <a:ln>
                      <a:noFill/>
                    </a:ln>
                  </pic:spPr>
                </pic:pic>
              </a:graphicData>
            </a:graphic>
          </wp:inline>
        </w:drawing>
      </w:r>
    </w:p>
    <w:p w:rsidR="00F065FD" w:rsidRDefault="00B911E8" w:rsidP="00B911E8">
      <w:pPr>
        <w:pStyle w:val="Billedtekst"/>
      </w:pPr>
      <w:r>
        <w:t xml:space="preserve">Figur </w:t>
      </w:r>
      <w:r w:rsidR="004B01EA">
        <w:fldChar w:fldCharType="begin"/>
      </w:r>
      <w:r w:rsidR="004B01EA">
        <w:instrText xml:space="preserve"> STYLEREF 1 \s </w:instrText>
      </w:r>
      <w:r w:rsidR="004B01EA">
        <w:fldChar w:fldCharType="separate"/>
      </w:r>
      <w:r w:rsidR="0091000E">
        <w:rPr>
          <w:noProof/>
        </w:rPr>
        <w:t>4</w:t>
      </w:r>
      <w:r w:rsidR="004B01EA">
        <w:rPr>
          <w:noProof/>
        </w:rPr>
        <w:fldChar w:fldCharType="end"/>
      </w:r>
      <w:r>
        <w:noBreakHyphen/>
      </w:r>
      <w:r w:rsidR="004B01EA">
        <w:fldChar w:fldCharType="begin"/>
      </w:r>
      <w:r w:rsidR="004B01EA">
        <w:instrText xml:space="preserve"> SEQ Figur \* ARABIC \s 1 </w:instrText>
      </w:r>
      <w:r w:rsidR="004B01EA">
        <w:fldChar w:fldCharType="separate"/>
      </w:r>
      <w:r w:rsidR="0091000E">
        <w:rPr>
          <w:noProof/>
        </w:rPr>
        <w:t>1</w:t>
      </w:r>
      <w:r w:rsidR="004B01EA">
        <w:rPr>
          <w:noProof/>
        </w:rPr>
        <w:fldChar w:fldCharType="end"/>
      </w:r>
      <w:r>
        <w:t>: Hovedmilepæle jf. grunddataprogrammets samlede implementeringsplan</w:t>
      </w:r>
      <w:r w:rsidR="00957E49">
        <w:t xml:space="preserve"> (årstalsangivelser er ultimo).</w:t>
      </w:r>
    </w:p>
    <w:p w:rsidR="00AF1C89" w:rsidRDefault="00B911E8" w:rsidP="00B911E8">
      <w:r>
        <w:br/>
      </w:r>
      <w:r w:rsidR="00F065FD">
        <w:t>Med ud</w:t>
      </w:r>
      <w:r w:rsidR="00E01584">
        <w:t xml:space="preserve">gangspunkt i disse </w:t>
      </w:r>
      <w:r>
        <w:t>hovedmile</w:t>
      </w:r>
      <w:r w:rsidR="00F065FD">
        <w:t xml:space="preserve"> er der udarbe</w:t>
      </w:r>
      <w:r w:rsidR="00E01584">
        <w:t>jdet en principplan (</w:t>
      </w:r>
      <w:r>
        <w:t xml:space="preserve">se </w:t>
      </w:r>
      <w:r>
        <w:fldChar w:fldCharType="begin"/>
      </w:r>
      <w:r>
        <w:instrText xml:space="preserve"> REF  _Ref341084775 \* Lower \h </w:instrText>
      </w:r>
      <w:r>
        <w:fldChar w:fldCharType="separate"/>
      </w:r>
      <w:r w:rsidR="0091000E" w:rsidRPr="00AC5579">
        <w:t xml:space="preserve">figur </w:t>
      </w:r>
      <w:r w:rsidR="0091000E">
        <w:rPr>
          <w:noProof/>
        </w:rPr>
        <w:t>4</w:t>
      </w:r>
      <w:r w:rsidR="0091000E">
        <w:noBreakHyphen/>
      </w:r>
      <w:r w:rsidR="0091000E">
        <w:rPr>
          <w:noProof/>
        </w:rPr>
        <w:t>2</w:t>
      </w:r>
      <w:r>
        <w:fldChar w:fldCharType="end"/>
      </w:r>
      <w:r w:rsidR="00E01584">
        <w:t xml:space="preserve">) for implementeringen af de aktiviteter, som er skitseret i </w:t>
      </w:r>
      <w:r w:rsidR="00AF1C89">
        <w:t>oplæggene til business case for hver af programmets tre dataområder</w:t>
      </w:r>
      <w:r w:rsidR="00E01584">
        <w:t>.</w:t>
      </w:r>
      <w:r w:rsidR="00AF1C89">
        <w:t xml:space="preserve"> </w:t>
      </w:r>
    </w:p>
    <w:p w:rsidR="00E53029" w:rsidRPr="00AC5579" w:rsidRDefault="00E53029" w:rsidP="007746A1"/>
    <w:p w:rsidR="00E53029" w:rsidRPr="00AC5579" w:rsidRDefault="00E01584" w:rsidP="007746A1">
      <w:r>
        <w:t>Princip</w:t>
      </w:r>
      <w:r w:rsidR="00E53029" w:rsidRPr="00AC5579">
        <w:t xml:space="preserve">planen </w:t>
      </w:r>
      <w:r w:rsidR="00F82264">
        <w:t>indeholder fem</w:t>
      </w:r>
      <w:r w:rsidR="000F0F39" w:rsidRPr="00AC5579">
        <w:t xml:space="preserve"> hovedelementer</w:t>
      </w:r>
      <w:r w:rsidR="00E53029" w:rsidRPr="00AC5579">
        <w:t>:</w:t>
      </w:r>
    </w:p>
    <w:p w:rsidR="00C90FB5" w:rsidRDefault="00C90FB5" w:rsidP="00C90FB5">
      <w:pPr>
        <w:numPr>
          <w:ilvl w:val="0"/>
          <w:numId w:val="28"/>
        </w:numPr>
      </w:pPr>
      <w:r>
        <w:t>Fælles analyse</w:t>
      </w:r>
      <w:r w:rsidR="00DA461A">
        <w:t xml:space="preserve">: De </w:t>
      </w:r>
      <w:r w:rsidR="00DF13FE">
        <w:t xml:space="preserve">tværgående afhængigheder mellem projekterne </w:t>
      </w:r>
      <w:r w:rsidR="00DA461A">
        <w:t xml:space="preserve">er kritiske for </w:t>
      </w:r>
      <w:r w:rsidR="00DF13FE">
        <w:t xml:space="preserve">programmets gennemførelse. Disse afhængigheder analyseres og der etableres en fælles plan for  den videre implementering. </w:t>
      </w:r>
    </w:p>
    <w:p w:rsidR="00895B07" w:rsidRPr="00AC5579" w:rsidRDefault="00E53029" w:rsidP="008971BA">
      <w:pPr>
        <w:numPr>
          <w:ilvl w:val="0"/>
          <w:numId w:val="28"/>
        </w:numPr>
      </w:pPr>
      <w:r w:rsidRPr="00AC5579">
        <w:t>Modernisering af grunddataregistrene:</w:t>
      </w:r>
      <w:r w:rsidR="00CB5A98" w:rsidRPr="00AC5579">
        <w:t xml:space="preserve"> </w:t>
      </w:r>
      <w:r w:rsidR="00895B07" w:rsidRPr="00AC5579">
        <w:t>Registreringerne i  Tingbogen/Ejerfortegnelsen og BBR skal fremover baseres på den grundregistrering af fast ejendom, som finder sted i Matriklen. Matriklens modernisering er således en forudsætning for de øvrige registeromlægninger.</w:t>
      </w:r>
    </w:p>
    <w:p w:rsidR="00711E42" w:rsidRPr="00AC5579" w:rsidRDefault="00895B07" w:rsidP="008971BA">
      <w:pPr>
        <w:numPr>
          <w:ilvl w:val="0"/>
          <w:numId w:val="28"/>
        </w:numPr>
      </w:pPr>
      <w:r w:rsidRPr="00AC5579">
        <w:t xml:space="preserve">Grunddataforbedringer: De eksisterende grunddata </w:t>
      </w:r>
      <w:r w:rsidR="00F34F4C" w:rsidRPr="00AC5579">
        <w:t xml:space="preserve">er </w:t>
      </w:r>
      <w:r w:rsidRPr="00AC5579">
        <w:t>på mange måder inkonsistente</w:t>
      </w:r>
      <w:r w:rsidR="004A623A" w:rsidRPr="00AC5579">
        <w:t xml:space="preserve"> og der skal </w:t>
      </w:r>
      <w:r w:rsidR="00DB3837" w:rsidRPr="00AC5579">
        <w:t xml:space="preserve">ske en </w:t>
      </w:r>
      <w:r w:rsidR="004A623A" w:rsidRPr="00AC5579">
        <w:t>da</w:t>
      </w:r>
      <w:r w:rsidR="00DB3837" w:rsidRPr="00AC5579">
        <w:t>ta</w:t>
      </w:r>
      <w:r w:rsidR="004A623A" w:rsidRPr="00AC5579">
        <w:t>vask og harmonisering af datastrukture</w:t>
      </w:r>
      <w:r w:rsidR="00F34F4C" w:rsidRPr="00AC5579">
        <w:t>rne</w:t>
      </w:r>
      <w:r w:rsidR="004A623A" w:rsidRPr="00AC5579">
        <w:t xml:space="preserve"> inden data kan migreres til moderniserede grunddataregistre</w:t>
      </w:r>
      <w:r w:rsidR="00711E42" w:rsidRPr="00AC5579">
        <w:t>.</w:t>
      </w:r>
      <w:r w:rsidR="004A623A" w:rsidRPr="00AC5579">
        <w:t xml:space="preserve"> Sikre og entydige identifikationer af såvel ejendomme som af deres ejere er vigtige forudsætninger for </w:t>
      </w:r>
      <w:r w:rsidR="00711E42" w:rsidRPr="00AC5579">
        <w:t xml:space="preserve">at ejerskabet til fast ejendom kan fastlægges entydigt.  Det betyder, at </w:t>
      </w:r>
      <w:r w:rsidR="009854A4" w:rsidRPr="00AC5579">
        <w:t xml:space="preserve">den enkelte ejendoms </w:t>
      </w:r>
      <w:r w:rsidR="00711E42" w:rsidRPr="00AC5579">
        <w:t xml:space="preserve">ejendomsdata skal være harmoniserede inden </w:t>
      </w:r>
      <w:r w:rsidR="003459C2">
        <w:t xml:space="preserve"> den</w:t>
      </w:r>
      <w:r w:rsidR="00711E42" w:rsidRPr="00AC5579">
        <w:t xml:space="preserve"> </w:t>
      </w:r>
      <w:r w:rsidR="009854A4" w:rsidRPr="00AC5579">
        <w:t xml:space="preserve">samme ejendoms  </w:t>
      </w:r>
      <w:r w:rsidR="00711E42" w:rsidRPr="00AC5579">
        <w:t xml:space="preserve">ejeroplysninger </w:t>
      </w:r>
      <w:r w:rsidR="003459C2">
        <w:t xml:space="preserve">migrering til Ejerfortegnelsen </w:t>
      </w:r>
      <w:r w:rsidR="00711E42" w:rsidRPr="00AC5579">
        <w:t>kan påbegyndes.</w:t>
      </w:r>
    </w:p>
    <w:p w:rsidR="00711E42" w:rsidRPr="00AC5579" w:rsidRDefault="00711E42" w:rsidP="008971BA">
      <w:pPr>
        <w:numPr>
          <w:ilvl w:val="0"/>
          <w:numId w:val="28"/>
        </w:numPr>
      </w:pPr>
      <w:r w:rsidRPr="00AC5579">
        <w:t>Modernisering</w:t>
      </w:r>
      <w:r w:rsidR="003548A2">
        <w:t xml:space="preserve">/tilpasning af kommunale og statslige </w:t>
      </w:r>
      <w:r w:rsidRPr="00AC5579">
        <w:t>fagsystemer: KL</w:t>
      </w:r>
      <w:r w:rsidR="003F399E" w:rsidRPr="00AC5579">
        <w:t>s</w:t>
      </w:r>
      <w:r w:rsidRPr="00AC5579">
        <w:t xml:space="preserve">/Kombits modernisering af </w:t>
      </w:r>
      <w:r w:rsidR="003548A2">
        <w:t>kommunale it-systemer</w:t>
      </w:r>
      <w:r w:rsidR="003548A2" w:rsidRPr="00AC5579">
        <w:t xml:space="preserve"> </w:t>
      </w:r>
      <w:r w:rsidRPr="00AC5579">
        <w:t>til beregning</w:t>
      </w:r>
      <w:r w:rsidR="003548A2">
        <w:t>,</w:t>
      </w:r>
      <w:r w:rsidRPr="00AC5579">
        <w:t>udskrivning</w:t>
      </w:r>
      <w:r w:rsidR="003548A2">
        <w:t xml:space="preserve"> og opkrævning</w:t>
      </w:r>
      <w:r w:rsidRPr="00AC5579">
        <w:t xml:space="preserve"> af ejendomsskat og bidrag sker parallelt med at grunddata omlægges til autoritative grunddataregistre. Tilsvarende skal SKAT gennemføre tilpasninger af vurderingssystemerne til den fremtidige datastruktur for ejendom og deres ejere. </w:t>
      </w:r>
      <w:r w:rsidR="003459C2">
        <w:t xml:space="preserve">KLs og SKATs </w:t>
      </w:r>
      <w:r w:rsidR="003548A2">
        <w:t>f</w:t>
      </w:r>
      <w:r w:rsidRPr="00AC5579">
        <w:t>agsystemer kan tidligst gå i drift</w:t>
      </w:r>
      <w:r w:rsidR="003548A2">
        <w:t>s</w:t>
      </w:r>
      <w:r w:rsidRPr="00AC5579">
        <w:t>test efter</w:t>
      </w:r>
      <w:r w:rsidR="003548A2">
        <w:t>,</w:t>
      </w:r>
      <w:r w:rsidRPr="00AC5579">
        <w:t xml:space="preserve"> at </w:t>
      </w:r>
      <w:r w:rsidR="003548A2">
        <w:t xml:space="preserve">de </w:t>
      </w:r>
      <w:r w:rsidRPr="00AC5579">
        <w:t>moderniser</w:t>
      </w:r>
      <w:r w:rsidR="003548A2">
        <w:t>ede</w:t>
      </w:r>
      <w:r w:rsidRPr="00AC5579">
        <w:t>f grunddataregistre</w:t>
      </w:r>
      <w:r w:rsidR="003548A2">
        <w:t xml:space="preserve"> er idriftsat og </w:t>
      </w:r>
      <w:r w:rsidR="003F399E" w:rsidRPr="00AC5579">
        <w:t>grunddata er tilgængelige via Datafordeleren</w:t>
      </w:r>
      <w:r w:rsidRPr="00AC5579">
        <w:t xml:space="preserve">. </w:t>
      </w:r>
    </w:p>
    <w:p w:rsidR="00E53029" w:rsidRPr="00AC5579" w:rsidRDefault="00CB6B26" w:rsidP="008971BA">
      <w:pPr>
        <w:numPr>
          <w:ilvl w:val="0"/>
          <w:numId w:val="28"/>
        </w:numPr>
      </w:pPr>
      <w:r w:rsidRPr="00AC5579">
        <w:t>Test med paralleldrift:</w:t>
      </w:r>
      <w:r w:rsidR="003F399E" w:rsidRPr="00AC5579">
        <w:t xml:space="preserve"> Kravene til sikker drift af ejendomsskattesystemerne fordre</w:t>
      </w:r>
      <w:r w:rsidR="00130123" w:rsidRPr="00AC5579">
        <w:t>r</w:t>
      </w:r>
      <w:r w:rsidR="003F399E" w:rsidRPr="00AC5579">
        <w:t xml:space="preserve"> en periode hvor de eksisterende fagsystemer (ESR og VUR/SVUR) kører i ordinær drift samtidig med at  de moderniserede forretningssystemer er i drift</w:t>
      </w:r>
      <w:r w:rsidR="003459C2">
        <w:t>s</w:t>
      </w:r>
      <w:r w:rsidR="003F399E" w:rsidRPr="00AC5579">
        <w:t xml:space="preserve">test. Det forventes </w:t>
      </w:r>
      <w:r w:rsidR="003F399E" w:rsidRPr="00AC5579">
        <w:lastRenderedPageBreak/>
        <w:t>en paralleldrift</w:t>
      </w:r>
      <w:r w:rsidR="00B911E8">
        <w:t>s</w:t>
      </w:r>
      <w:r w:rsidR="003F399E" w:rsidRPr="00AC5579">
        <w:t>periode på et år, så der er sikkerhed for at alle driftssituatione</w:t>
      </w:r>
      <w:r w:rsidR="00130123" w:rsidRPr="00AC5579">
        <w:t>r</w:t>
      </w:r>
      <w:r w:rsidR="003F399E" w:rsidRPr="00AC5579">
        <w:t xml:space="preserve"> er testet.</w:t>
      </w:r>
    </w:p>
    <w:p w:rsidR="00E53029" w:rsidRPr="00AC5579" w:rsidRDefault="00E53029" w:rsidP="007746A1"/>
    <w:p w:rsidR="004F7E41" w:rsidRPr="00AC5579" w:rsidRDefault="00767D38" w:rsidP="000F0F39">
      <w:pPr>
        <w:keepNext/>
        <w:rPr>
          <w:noProof/>
          <w:lang w:eastAsia="en-GB"/>
        </w:rPr>
      </w:pPr>
      <w:r>
        <w:rPr>
          <w:noProof/>
        </w:rPr>
        <w:drawing>
          <wp:inline distT="0" distB="0" distL="0" distR="0" wp14:anchorId="66B29E9E" wp14:editId="6D7C1279">
            <wp:extent cx="5400675" cy="2263821"/>
            <wp:effectExtent l="0" t="0" r="0" b="317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675" cy="2263821"/>
                    </a:xfrm>
                    <a:prstGeom prst="rect">
                      <a:avLst/>
                    </a:prstGeom>
                  </pic:spPr>
                </pic:pic>
              </a:graphicData>
            </a:graphic>
          </wp:inline>
        </w:drawing>
      </w:r>
    </w:p>
    <w:p w:rsidR="00904BA8" w:rsidRPr="00AC5579" w:rsidRDefault="000F0F39" w:rsidP="000F0F39">
      <w:pPr>
        <w:pStyle w:val="Billedtekst"/>
      </w:pPr>
      <w:bookmarkStart w:id="67" w:name="_Ref341084775"/>
      <w:r w:rsidRPr="00AC5579">
        <w:t xml:space="preserve">Figur </w:t>
      </w:r>
      <w:r w:rsidR="004B01EA">
        <w:fldChar w:fldCharType="begin"/>
      </w:r>
      <w:r w:rsidR="004B01EA">
        <w:instrText xml:space="preserve"> STYLEREF 1 \s </w:instrText>
      </w:r>
      <w:r w:rsidR="004B01EA">
        <w:fldChar w:fldCharType="separate"/>
      </w:r>
      <w:r w:rsidR="0091000E">
        <w:rPr>
          <w:noProof/>
        </w:rPr>
        <w:t>4</w:t>
      </w:r>
      <w:r w:rsidR="004B01EA">
        <w:rPr>
          <w:noProof/>
        </w:rPr>
        <w:fldChar w:fldCharType="end"/>
      </w:r>
      <w:r w:rsidR="00B911E8">
        <w:noBreakHyphen/>
      </w:r>
      <w:r w:rsidR="004B01EA">
        <w:fldChar w:fldCharType="begin"/>
      </w:r>
      <w:r w:rsidR="004B01EA">
        <w:instrText xml:space="preserve"> SEQ Figur \* ARABIC \s 1 </w:instrText>
      </w:r>
      <w:r w:rsidR="004B01EA">
        <w:fldChar w:fldCharType="separate"/>
      </w:r>
      <w:r w:rsidR="0091000E">
        <w:rPr>
          <w:noProof/>
        </w:rPr>
        <w:t>2</w:t>
      </w:r>
      <w:r w:rsidR="004B01EA">
        <w:rPr>
          <w:noProof/>
        </w:rPr>
        <w:fldChar w:fldCharType="end"/>
      </w:r>
      <w:bookmarkEnd w:id="67"/>
      <w:r w:rsidRPr="00AC5579">
        <w:t xml:space="preserve">: </w:t>
      </w:r>
      <w:r w:rsidR="0045596C" w:rsidRPr="00AC5579">
        <w:t xml:space="preserve">Principplan for </w:t>
      </w:r>
      <w:r w:rsidRPr="00AC5579">
        <w:t>programmets implementering</w:t>
      </w:r>
      <w:r w:rsidR="00767D38">
        <w:t xml:space="preserve">. </w:t>
      </w:r>
      <w:r w:rsidR="00A54E4D">
        <w:t>Ved udgangen af 2015 er g</w:t>
      </w:r>
      <w:r w:rsidR="00767D38">
        <w:t>runddataforbederingerne afsluttet og grunddatasystemerne er idriftsat</w:t>
      </w:r>
      <w:r w:rsidR="00A54E4D">
        <w:t xml:space="preserve">. Paralleldrift med </w:t>
      </w:r>
      <w:r w:rsidR="00A66855">
        <w:t xml:space="preserve">tværgående </w:t>
      </w:r>
      <w:r w:rsidR="00A54E4D">
        <w:t>tests begynder i 2016.</w:t>
      </w:r>
      <w:r w:rsidR="00767D38">
        <w:t xml:space="preserve"> </w:t>
      </w:r>
    </w:p>
    <w:p w:rsidR="00904BA8" w:rsidRPr="00AC5579" w:rsidRDefault="00904BA8" w:rsidP="007746A1"/>
    <w:p w:rsidR="004C12E9" w:rsidRDefault="003548A2" w:rsidP="000F0F39">
      <w:pPr>
        <w:jc w:val="left"/>
      </w:pPr>
      <w:bookmarkStart w:id="68" w:name="_Toc330999038"/>
      <w:bookmarkStart w:id="69" w:name="_Toc331337596"/>
      <w:bookmarkStart w:id="70" w:name="_Toc331337628"/>
      <w:bookmarkStart w:id="71" w:name="_Toc331337678"/>
      <w:bookmarkEnd w:id="68"/>
      <w:bookmarkEnd w:id="69"/>
      <w:bookmarkEnd w:id="70"/>
      <w:bookmarkEnd w:id="71"/>
      <w:r>
        <w:t xml:space="preserve">Den endelige og mere detaljerede </w:t>
      </w:r>
      <w:r w:rsidR="00AA3718">
        <w:t>implementerings</w:t>
      </w:r>
      <w:r w:rsidR="00697468">
        <w:t xml:space="preserve">planen </w:t>
      </w:r>
      <w:r>
        <w:t>udvikle</w:t>
      </w:r>
      <w:r w:rsidR="00767D38">
        <w:t>s under den</w:t>
      </w:r>
      <w:r>
        <w:t xml:space="preserve"> fælles analyse med deltagelse af aftaleparterne plus SKAT. </w:t>
      </w:r>
      <w:r w:rsidR="00E26CD4">
        <w:t xml:space="preserve">Den fælles analyse vil desuden fastlægge programmets målarkitektur, som er styrende for projekternes løsningsarkitekturer og de efterfølgende kravspecificeringer. </w:t>
      </w:r>
      <w:r w:rsidR="00AA3718">
        <w:t xml:space="preserve"> Desuden vil der </w:t>
      </w:r>
      <w:r w:rsidR="00D965C2">
        <w:t>ske</w:t>
      </w:r>
      <w:r w:rsidR="00AA3718">
        <w:t xml:space="preserve"> løbende kvalificering</w:t>
      </w:r>
      <w:r w:rsidR="00D965C2">
        <w:t>er og justeringer</w:t>
      </w:r>
      <w:r w:rsidR="00AA3718">
        <w:t xml:space="preserve"> af planen  i </w:t>
      </w:r>
      <w:r w:rsidR="0036377D" w:rsidRPr="00AC5579">
        <w:t xml:space="preserve">takt med </w:t>
      </w:r>
      <w:r w:rsidR="00D965C2">
        <w:t>implementeringens fremdrift.</w:t>
      </w:r>
      <w:r w:rsidR="0036377D" w:rsidRPr="00AC5579">
        <w:t xml:space="preserve"> </w:t>
      </w:r>
      <w:r w:rsidR="004F7E41" w:rsidRPr="00AC5579">
        <w:t xml:space="preserve">I </w:t>
      </w:r>
      <w:r w:rsidR="0036377D" w:rsidRPr="00AC5579">
        <w:t xml:space="preserve">den </w:t>
      </w:r>
      <w:r w:rsidR="004F7E41" w:rsidRPr="00AC5579">
        <w:t>forbindelse har programmet e</w:t>
      </w:r>
      <w:r w:rsidR="00E41773" w:rsidRPr="00AC5579">
        <w:t>n</w:t>
      </w:r>
      <w:r w:rsidR="004F7E41" w:rsidRPr="00AC5579">
        <w:t xml:space="preserve"> selvstændig opgave med at identificere og</w:t>
      </w:r>
      <w:r w:rsidR="00E41773" w:rsidRPr="00AC5579">
        <w:t xml:space="preserve"> følge udviklingen i</w:t>
      </w:r>
      <w:r w:rsidR="00343112" w:rsidRPr="00AC5579">
        <w:t xml:space="preserve"> de forudsætninger implementering hviler på </w:t>
      </w:r>
      <w:r w:rsidR="00E41773" w:rsidRPr="00AC5579">
        <w:t xml:space="preserve"> og andre forhold, som </w:t>
      </w:r>
      <w:r w:rsidR="00343112" w:rsidRPr="00AC5579">
        <w:t xml:space="preserve">har betydning for </w:t>
      </w:r>
      <w:r w:rsidR="00E41773" w:rsidRPr="00AC5579">
        <w:t>implementeringens kritisk</w:t>
      </w:r>
      <w:r w:rsidR="00697468">
        <w:t>e</w:t>
      </w:r>
      <w:r w:rsidR="00E41773" w:rsidRPr="00AC5579">
        <w:t xml:space="preserve"> vej</w:t>
      </w:r>
      <w:r w:rsidR="00343112" w:rsidRPr="00AC5579">
        <w:t>e</w:t>
      </w:r>
      <w:r w:rsidR="0036377D" w:rsidRPr="00AC5579">
        <w:t>.</w:t>
      </w:r>
    </w:p>
    <w:p w:rsidR="00DF13FE" w:rsidRDefault="00DF13FE" w:rsidP="00DF13FE">
      <w:r>
        <w:t xml:space="preserve">Programmet skal - med udgangspunkt i </w:t>
      </w:r>
      <w:r w:rsidRPr="00AC5579">
        <w:t>den fælles implementeringsplan</w:t>
      </w:r>
      <w:r>
        <w:t xml:space="preserve"> – kunne danne et præcist overblik over:</w:t>
      </w:r>
    </w:p>
    <w:p w:rsidR="00DF13FE" w:rsidRDefault="00DF13FE" w:rsidP="00DF13FE">
      <w:pPr>
        <w:pStyle w:val="Listeafsnit"/>
        <w:numPr>
          <w:ilvl w:val="0"/>
          <w:numId w:val="41"/>
        </w:numPr>
      </w:pPr>
      <w:r>
        <w:t>De produkter programmet som helhed skal levere.</w:t>
      </w:r>
    </w:p>
    <w:p w:rsidR="00DF13FE" w:rsidRDefault="00DF13FE" w:rsidP="00DF13FE">
      <w:pPr>
        <w:pStyle w:val="Listeafsnit"/>
        <w:numPr>
          <w:ilvl w:val="0"/>
          <w:numId w:val="41"/>
        </w:numPr>
      </w:pPr>
      <w:r>
        <w:t>Sammenhængen mellem disse leverancer i form af forudsætninger og andre former for afhængighed mellem de forskellige leverancer.</w:t>
      </w:r>
    </w:p>
    <w:p w:rsidR="00DF13FE" w:rsidRDefault="00DF13FE" w:rsidP="00DF13FE">
      <w:pPr>
        <w:pStyle w:val="Listeafsnit"/>
        <w:numPr>
          <w:ilvl w:val="0"/>
          <w:numId w:val="41"/>
        </w:numPr>
      </w:pPr>
      <w:r>
        <w:t>Hvilke projekter og hvilke aktiviteter  der skal leverede de enkelte produkter.</w:t>
      </w:r>
    </w:p>
    <w:p w:rsidR="00DF13FE" w:rsidRDefault="00DF13FE" w:rsidP="00DF13FE">
      <w:pPr>
        <w:pStyle w:val="Listeafsnit"/>
        <w:numPr>
          <w:ilvl w:val="0"/>
          <w:numId w:val="41"/>
        </w:numPr>
      </w:pPr>
      <w:r>
        <w:t xml:space="preserve">Den tidsmæssige indplacering af de enkelte aktiviteter – herunder </w:t>
      </w:r>
      <w:r w:rsidR="00D965C2">
        <w:t>tidsfrist</w:t>
      </w:r>
      <w:r>
        <w:t xml:space="preserve"> for hvornår de enkelte leverancer skal foreligge.</w:t>
      </w:r>
    </w:p>
    <w:p w:rsidR="00DF13FE" w:rsidRDefault="00DF13FE" w:rsidP="000F0F39">
      <w:pPr>
        <w:jc w:val="left"/>
      </w:pPr>
    </w:p>
    <w:p w:rsidR="001323E5" w:rsidRPr="00AC5579" w:rsidRDefault="00D965C2" w:rsidP="003D45BF">
      <w:pPr>
        <w:jc w:val="left"/>
      </w:pPr>
      <w:r>
        <w:t xml:space="preserve">Bilag 2 indeholder beskrivelser af </w:t>
      </w:r>
      <w:r w:rsidR="004C12E9">
        <w:t>aftaleparternes implementeringsopgaver.</w:t>
      </w:r>
    </w:p>
    <w:p w:rsidR="00730D94" w:rsidRPr="00AC5579" w:rsidRDefault="00730D94" w:rsidP="00730D94">
      <w:pPr>
        <w:pStyle w:val="Overskrift1"/>
        <w:tabs>
          <w:tab w:val="clear" w:pos="794"/>
          <w:tab w:val="left" w:pos="567"/>
          <w:tab w:val="left" w:pos="851"/>
          <w:tab w:val="left" w:pos="1134"/>
        </w:tabs>
        <w:spacing w:before="0" w:after="120" w:line="288" w:lineRule="auto"/>
        <w:ind w:left="567" w:hanging="567"/>
      </w:pPr>
      <w:bookmarkStart w:id="72" w:name="_Toc317076683"/>
      <w:bookmarkStart w:id="73" w:name="_Toc317091239"/>
      <w:bookmarkStart w:id="74" w:name="_Toc317197946"/>
      <w:bookmarkStart w:id="75" w:name="_Toc341024650"/>
      <w:bookmarkStart w:id="76" w:name="_Toc317076689"/>
      <w:bookmarkStart w:id="77" w:name="_Toc317091251"/>
      <w:r w:rsidRPr="00AC5579">
        <w:lastRenderedPageBreak/>
        <w:t>Organisering</w:t>
      </w:r>
      <w:bookmarkEnd w:id="72"/>
      <w:bookmarkEnd w:id="73"/>
      <w:bookmarkEnd w:id="74"/>
      <w:bookmarkEnd w:id="75"/>
    </w:p>
    <w:p w:rsidR="00D77DDC" w:rsidRPr="00AC5579" w:rsidRDefault="00A127FB" w:rsidP="006E28DA">
      <w:r w:rsidRPr="00AC5579">
        <w:t>Samordnet genbrug af ejendoms- og bygningsdata indeholder mange projekter med gensidig afhængig</w:t>
      </w:r>
      <w:r w:rsidR="006E28DA" w:rsidRPr="00AC5579">
        <w:t>heder</w:t>
      </w:r>
      <w:r w:rsidRPr="00AC5579">
        <w:t xml:space="preserve"> og  styres </w:t>
      </w:r>
      <w:r w:rsidR="00894AEF" w:rsidRPr="00AC5579">
        <w:t xml:space="preserve">derfor </w:t>
      </w:r>
      <w:r w:rsidRPr="00AC5579">
        <w:t>som et program.</w:t>
      </w:r>
      <w:r w:rsidR="006E28DA" w:rsidRPr="00AC5579">
        <w:t xml:space="preserve"> </w:t>
      </w:r>
      <w:r w:rsidR="00D87CB9" w:rsidRPr="00AC5579">
        <w:t xml:space="preserve">Programmets </w:t>
      </w:r>
      <w:r w:rsidR="00AC4B1D" w:rsidRPr="00AC5579">
        <w:t xml:space="preserve">primære opgave er </w:t>
      </w:r>
      <w:r w:rsidR="007E4685" w:rsidRPr="00AC5579">
        <w:t xml:space="preserve">sikring af, at der sker en samordnet og koordineret </w:t>
      </w:r>
      <w:r w:rsidR="00D77DDC" w:rsidRPr="00AC5579">
        <w:t xml:space="preserve">realisering </w:t>
      </w:r>
      <w:r w:rsidR="007E4685" w:rsidRPr="00AC5579">
        <w:t xml:space="preserve">af den enkelte aktørs forpligtelser i forhold til </w:t>
      </w:r>
      <w:r w:rsidR="00AC4B1D" w:rsidRPr="00AC5579">
        <w:t>grunddata</w:t>
      </w:r>
      <w:r w:rsidR="007E4685" w:rsidRPr="00AC5579">
        <w:t xml:space="preserve">aftalen. </w:t>
      </w:r>
      <w:r w:rsidR="00426E08" w:rsidRPr="00AC5579">
        <w:t xml:space="preserve">Det er ligeledes programmet, der i spørgsmål vedrørende grunddataaftalen koordinerer med </w:t>
      </w:r>
      <w:r w:rsidR="00D76D9B" w:rsidRPr="00AC5579">
        <w:t>Grunddatabestyrelsen</w:t>
      </w:r>
      <w:r w:rsidR="00426E08" w:rsidRPr="00AC5579">
        <w:t>.</w:t>
      </w:r>
    </w:p>
    <w:p w:rsidR="00D77DDC" w:rsidRPr="00AC5579" w:rsidRDefault="00D77DDC" w:rsidP="006E28DA"/>
    <w:p w:rsidR="007B4796" w:rsidRPr="00AC5579" w:rsidRDefault="00D77DDC" w:rsidP="007B4796">
      <w:r w:rsidRPr="00AC5579">
        <w:t>Programmet ledes af en styregruppe med deltagelse af aftaleparterne</w:t>
      </w:r>
      <w:r w:rsidR="002E61F6">
        <w:t xml:space="preserve"> plus SKAT</w:t>
      </w:r>
      <w:r w:rsidRPr="00AC5579">
        <w:t xml:space="preserve">. Til programmet knyttes et sekretariat, som </w:t>
      </w:r>
      <w:r w:rsidR="007C2A7A" w:rsidRPr="00AC5579">
        <w:t>forestår</w:t>
      </w:r>
      <w:r w:rsidR="00AA166C">
        <w:t xml:space="preserve"> den daglige programstyring</w:t>
      </w:r>
      <w:r w:rsidRPr="00AC5579">
        <w:t>.</w:t>
      </w:r>
      <w:r w:rsidR="007B4796" w:rsidRPr="00AC5579">
        <w:t xml:space="preserve"> MBBL varetager såvel formandskabet for programstyregruppen som  programsekretariatet.</w:t>
      </w:r>
    </w:p>
    <w:p w:rsidR="00D77DDC" w:rsidRPr="00AC5579" w:rsidRDefault="00D77DDC" w:rsidP="006E28DA"/>
    <w:p w:rsidR="001D0511" w:rsidRPr="00AC5579" w:rsidRDefault="006E28DA" w:rsidP="006E28DA">
      <w:r w:rsidRPr="00AC5579">
        <w:t xml:space="preserve">Aftaleparternes </w:t>
      </w:r>
      <w:r w:rsidR="00AC4B1D" w:rsidRPr="00AC5579">
        <w:t xml:space="preserve">implementering af de aftalte aktiviteter, som den enkelte aftalepart har ansvaret for,  </w:t>
      </w:r>
      <w:r w:rsidR="00D87CB9" w:rsidRPr="00AC5579">
        <w:t xml:space="preserve">organiseres og styres </w:t>
      </w:r>
      <w:r w:rsidRPr="00AC5579">
        <w:t xml:space="preserve">som </w:t>
      </w:r>
      <w:r w:rsidR="00AC4B1D" w:rsidRPr="00AC5579">
        <w:t>projekter</w:t>
      </w:r>
      <w:r w:rsidR="008263FA">
        <w:t>, som er underordnet den fælles implementeringsplan</w:t>
      </w:r>
      <w:r w:rsidR="00AC4B1D" w:rsidRPr="00AC5579">
        <w:t xml:space="preserve">. </w:t>
      </w:r>
      <w:r w:rsidR="00660C17">
        <w:t xml:space="preserve">Hvert af de tre projekter: </w:t>
      </w:r>
      <w:r w:rsidR="00FA3EE9">
        <w:t xml:space="preserve">”Udvidelse af </w:t>
      </w:r>
      <w:r w:rsidR="00660C17">
        <w:t>BBR</w:t>
      </w:r>
      <w:r w:rsidR="00FA3EE9">
        <w:t>”</w:t>
      </w:r>
      <w:r w:rsidR="00660C17">
        <w:t xml:space="preserve">, </w:t>
      </w:r>
      <w:r w:rsidR="00FA3EE9">
        <w:t>”</w:t>
      </w:r>
      <w:r w:rsidR="00660C17">
        <w:t>Matriklen</w:t>
      </w:r>
      <w:r w:rsidR="00FA3EE9">
        <w:t xml:space="preserve">s udvidelse” samt ”Ny </w:t>
      </w:r>
      <w:r w:rsidR="00660C17">
        <w:t xml:space="preserve"> Ejerfortegnelse </w:t>
      </w:r>
      <w:r w:rsidR="00FA3EE9">
        <w:t xml:space="preserve">og tilpasning af Tingbogen” </w:t>
      </w:r>
      <w:r w:rsidR="00660C17">
        <w:t>har e</w:t>
      </w:r>
      <w:r w:rsidR="002923A0">
        <w:t>n</w:t>
      </w:r>
      <w:r w:rsidR="00660C17">
        <w:t xml:space="preserve"> økonomi, som </w:t>
      </w:r>
      <w:r w:rsidR="008F18D6">
        <w:t xml:space="preserve">betyder, at </w:t>
      </w:r>
      <w:r w:rsidR="002C6578">
        <w:t xml:space="preserve">hvert af </w:t>
      </w:r>
      <w:r w:rsidR="008F18D6">
        <w:t>projekterne</w:t>
      </w:r>
      <w:r w:rsidR="00660C17">
        <w:t xml:space="preserve"> skal forelægges for og risikovurderes af Statens IT-projektråd.</w:t>
      </w:r>
      <w:r w:rsidR="008F18D6">
        <w:t xml:space="preserve"> </w:t>
      </w:r>
      <w:r w:rsidR="002C6578">
        <w:t>IT-projektråd</w:t>
      </w:r>
      <w:r w:rsidR="00874ED5">
        <w:t>et</w:t>
      </w:r>
      <w:r w:rsidR="002C6578">
        <w:t xml:space="preserve"> har vurderet</w:t>
      </w:r>
      <w:r w:rsidR="002035A0">
        <w:t>,</w:t>
      </w:r>
      <w:r w:rsidR="002C6578">
        <w:t xml:space="preserve"> at projekternes indbyrdes afhængigheder har en </w:t>
      </w:r>
      <w:r w:rsidR="00874ED5">
        <w:t xml:space="preserve">sådan </w:t>
      </w:r>
      <w:r w:rsidR="002C6578">
        <w:t>karakter, at der skal ske en samlet fremlæggelse og risikovurdering af programmet og dets projekter.</w:t>
      </w:r>
      <w:r w:rsidR="00452773">
        <w:t xml:space="preserve"> Da projekternes ses som et hele og den samlede projektøkonomi overstiger 60 mio. kr, er det IT-projektrådets anbefaling af</w:t>
      </w:r>
      <w:r w:rsidR="002035A0">
        <w:t>,</w:t>
      </w:r>
      <w:r w:rsidR="00452773">
        <w:t xml:space="preserve"> at programmet </w:t>
      </w:r>
      <w:r w:rsidR="002035A0">
        <w:t xml:space="preserve">tillige </w:t>
      </w:r>
      <w:r w:rsidR="00452773">
        <w:t>forelægges Folketingets Finansudvalg til orientering</w:t>
      </w:r>
    </w:p>
    <w:p w:rsidR="00D77DDC" w:rsidRPr="00AC5579" w:rsidRDefault="00D77DDC" w:rsidP="00D77DDC"/>
    <w:p w:rsidR="00D77DDC" w:rsidRPr="00AC5579" w:rsidRDefault="008263FA" w:rsidP="00D77DDC">
      <w:r>
        <w:t xml:space="preserve">De enkelte aftaleparter tager stilling til om der er behov for at etablere delprojekter, styregruppe mv. </w:t>
      </w:r>
    </w:p>
    <w:p w:rsidR="00D87CB9" w:rsidRPr="00AC5579" w:rsidRDefault="00D87CB9" w:rsidP="006E28DA"/>
    <w:p w:rsidR="008018C8" w:rsidRPr="00AC5579" w:rsidRDefault="008263FA" w:rsidP="008018C8">
      <w:r>
        <w:t xml:space="preserve">Organiseringen </w:t>
      </w:r>
      <w:r w:rsidR="008018C8" w:rsidRPr="00AC5579">
        <w:t xml:space="preserve">gør styringen af de enkelte projekters tværgående koordinationsaktiviteter til en fælles opgave, som varetages af programmet. Dermed aflastes projekterne i forhold til  kravet om detailkendskab til de øvrige projekter. Samtidig  får projekterne mulighed for at skabe en mere faglig profil med fokus på egne aktiviteter. Dette ændrer naturligvis ikke projekternes ansvar </w:t>
      </w:r>
      <w:r w:rsidR="002A5D11" w:rsidRPr="00AC5579">
        <w:t>med hensyn ti</w:t>
      </w:r>
      <w:r w:rsidR="008018C8" w:rsidRPr="00AC5579">
        <w:t xml:space="preserve">l at levere i overensstemmelse med den aftalte implementeringsplan. </w:t>
      </w:r>
    </w:p>
    <w:p w:rsidR="00D87CB9" w:rsidRPr="00AC5579" w:rsidRDefault="00D87CB9" w:rsidP="006E28DA"/>
    <w:p w:rsidR="007B4796" w:rsidRDefault="007B4796" w:rsidP="006E28DA">
      <w:r w:rsidRPr="00AC5579">
        <w:t xml:space="preserve">Den praktiske programkoordination sker i et </w:t>
      </w:r>
      <w:r w:rsidR="008263FA">
        <w:t>p</w:t>
      </w:r>
      <w:r w:rsidR="00AA3718">
        <w:t>rojekt</w:t>
      </w:r>
      <w:r w:rsidR="00AA3718" w:rsidRPr="00AC5579">
        <w:t xml:space="preserve">forum </w:t>
      </w:r>
      <w:r w:rsidRPr="00AC5579">
        <w:t xml:space="preserve">med deltagelse af repræsentanter fra aftaleparternes projekter. Programsekretariatet leder </w:t>
      </w:r>
      <w:r w:rsidR="00AA3718">
        <w:t>projekt</w:t>
      </w:r>
      <w:r w:rsidR="00AA3718" w:rsidRPr="00AC5579">
        <w:t>forum</w:t>
      </w:r>
      <w:r w:rsidRPr="00AC5579">
        <w:t xml:space="preserve">. </w:t>
      </w:r>
      <w:r w:rsidR="00AA3718">
        <w:t xml:space="preserve">Projektforum </w:t>
      </w:r>
      <w:r w:rsidRPr="00AC5579">
        <w:t xml:space="preserve"> nedsætter efter behov arbejdsgrupper til udarbejdelse af fælles faglige oplæg/udredninger.  </w:t>
      </w:r>
      <w:r w:rsidR="00AA166C">
        <w:t>Eksempler på</w:t>
      </w:r>
      <w:r w:rsidR="008E1AD6">
        <w:t xml:space="preserve"> arbejdsgruppe</w:t>
      </w:r>
      <w:r w:rsidR="00AF1C89">
        <w:t xml:space="preserve">opgaver er udarbejdelse af forslag til: </w:t>
      </w:r>
      <w:r w:rsidR="008E1AD6">
        <w:t>datamigreringsstrategi</w:t>
      </w:r>
      <w:r w:rsidR="00AA166C">
        <w:t>, teststrategi</w:t>
      </w:r>
      <w:r w:rsidR="00AF1C89">
        <w:t>, lovgivningsændringer</w:t>
      </w:r>
      <w:r w:rsidR="008E1AD6">
        <w:t xml:space="preserve"> mv.</w:t>
      </w:r>
    </w:p>
    <w:p w:rsidR="007B4796" w:rsidRPr="00AC5579" w:rsidRDefault="007B4796" w:rsidP="006E28DA"/>
    <w:p w:rsidR="008E1AD6" w:rsidRDefault="008E1AD6" w:rsidP="008263FA"/>
    <w:p w:rsidR="008E1AD6" w:rsidRPr="00AC5579" w:rsidRDefault="008E1AD6" w:rsidP="008263FA">
      <w:r>
        <w:t>Bilag 3 inde</w:t>
      </w:r>
      <w:r w:rsidR="009C4B0C">
        <w:t>holder flere detaljer om organiseringens</w:t>
      </w:r>
      <w:r>
        <w:t xml:space="preserve">  rolle</w:t>
      </w:r>
      <w:r w:rsidR="009C4B0C">
        <w:t>r</w:t>
      </w:r>
      <w:r>
        <w:t xml:space="preserve"> og ansvarsfordeling.</w:t>
      </w:r>
    </w:p>
    <w:p w:rsidR="008263FA" w:rsidRDefault="008263FA" w:rsidP="006E28DA"/>
    <w:p w:rsidR="007C2A7A" w:rsidRPr="00AC5579" w:rsidRDefault="00047E25" w:rsidP="006E28DA">
      <w:r w:rsidRPr="00AC5579">
        <w:t>Nedenstående diagram i</w:t>
      </w:r>
      <w:r w:rsidR="007C2A7A" w:rsidRPr="00AC5579">
        <w:t>llustrere</w:t>
      </w:r>
      <w:r w:rsidRPr="00AC5579">
        <w:t xml:space="preserve">r </w:t>
      </w:r>
      <w:r w:rsidR="00C4246B" w:rsidRPr="00AC5579">
        <w:t>programmets organisering</w:t>
      </w:r>
      <w:r w:rsidRPr="00AC5579">
        <w:t xml:space="preserve">. Det bemærkes at </w:t>
      </w:r>
      <w:r w:rsidR="009F6EBA">
        <w:t xml:space="preserve">aftaleparternes organisering af </w:t>
      </w:r>
      <w:r w:rsidR="00C4246B" w:rsidRPr="00AC5579">
        <w:t xml:space="preserve">projekternes  ikke er medtaget i </w:t>
      </w:r>
      <w:r w:rsidRPr="00AC5579">
        <w:t>diagrammet.</w:t>
      </w:r>
      <w:r w:rsidR="00FA3EE9">
        <w:t xml:space="preserve"> For oplysninger </w:t>
      </w:r>
      <w:r w:rsidR="009F6EBA">
        <w:t>herom henvises til de enkelte projektinitieringsdokumenter.</w:t>
      </w:r>
    </w:p>
    <w:p w:rsidR="000660F2" w:rsidRPr="00AC5579" w:rsidRDefault="00004409" w:rsidP="000660F2">
      <w:pPr>
        <w:keepNext/>
      </w:pPr>
      <w:r>
        <w:rPr>
          <w:noProof/>
        </w:rPr>
        <w:lastRenderedPageBreak/>
        <w:drawing>
          <wp:inline distT="0" distB="0" distL="0" distR="0" wp14:anchorId="4BDDAE8F" wp14:editId="127E6E82">
            <wp:extent cx="5400675" cy="3405808"/>
            <wp:effectExtent l="0" t="0" r="0" b="444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405808"/>
                    </a:xfrm>
                    <a:prstGeom prst="rect">
                      <a:avLst/>
                    </a:prstGeom>
                    <a:noFill/>
                    <a:ln>
                      <a:noFill/>
                    </a:ln>
                  </pic:spPr>
                </pic:pic>
              </a:graphicData>
            </a:graphic>
          </wp:inline>
        </w:drawing>
      </w:r>
    </w:p>
    <w:p w:rsidR="007C2A7A" w:rsidRPr="00AC5579" w:rsidRDefault="000660F2" w:rsidP="000660F2">
      <w:pPr>
        <w:pStyle w:val="Billedtekst"/>
      </w:pPr>
      <w:r w:rsidRPr="00AC5579">
        <w:t xml:space="preserve">Figur </w:t>
      </w:r>
      <w:r w:rsidR="004B01EA">
        <w:fldChar w:fldCharType="begin"/>
      </w:r>
      <w:r w:rsidR="004B01EA">
        <w:instrText xml:space="preserve"> STYLEREF 1 \s </w:instrText>
      </w:r>
      <w:r w:rsidR="004B01EA">
        <w:fldChar w:fldCharType="separate"/>
      </w:r>
      <w:r w:rsidR="0091000E">
        <w:rPr>
          <w:noProof/>
        </w:rPr>
        <w:t>5</w:t>
      </w:r>
      <w:r w:rsidR="004B01EA">
        <w:rPr>
          <w:noProof/>
        </w:rPr>
        <w:fldChar w:fldCharType="end"/>
      </w:r>
      <w:r w:rsidR="00B911E8">
        <w:noBreakHyphen/>
      </w:r>
      <w:r w:rsidR="004B01EA">
        <w:fldChar w:fldCharType="begin"/>
      </w:r>
      <w:r w:rsidR="004B01EA">
        <w:instrText xml:space="preserve"> SEQ Figur \* ARABIC</w:instrText>
      </w:r>
      <w:r w:rsidR="004B01EA">
        <w:instrText xml:space="preserve"> \s 1 </w:instrText>
      </w:r>
      <w:r w:rsidR="004B01EA">
        <w:fldChar w:fldCharType="separate"/>
      </w:r>
      <w:r w:rsidR="0091000E">
        <w:rPr>
          <w:noProof/>
        </w:rPr>
        <w:t>1</w:t>
      </w:r>
      <w:r w:rsidR="004B01EA">
        <w:rPr>
          <w:noProof/>
        </w:rPr>
        <w:fldChar w:fldCharType="end"/>
      </w:r>
      <w:r w:rsidRPr="00AC5579">
        <w:t>: Programmets organisering og sammenhæng til digitaliseringsstrategien og aftaleparternes projekter.</w:t>
      </w:r>
    </w:p>
    <w:p w:rsidR="00096D23" w:rsidRDefault="00096D23" w:rsidP="007746A1"/>
    <w:p w:rsidR="000660F2" w:rsidRPr="00AC5579" w:rsidRDefault="009C4B0C" w:rsidP="009F6EBA">
      <w:r w:rsidRPr="00AC5579">
        <w:t>Realiseringen af grunddataaftalen betyder grundlæggende ændringer af både ejendomsbegreberne og den måde ejendomsoplysninger struktureres på. Ligeledes vil datadistributionen via den fællesoffentlige Datafordeler være ny. Disse ændringer vil få konsekvenser for stort set alle, der anvender  digit</w:t>
      </w:r>
      <w:r>
        <w:t xml:space="preserve">ale ejendoms- og bygningsdata. </w:t>
      </w:r>
      <w:r w:rsidRPr="00AC5579">
        <w:t xml:space="preserve">Der er derfor  behov for på et tidligt tidspunkt og løbende at kommunikere med omverdenen om de forestående ændringer. </w:t>
      </w:r>
      <w:r w:rsidR="009F6EBA">
        <w:t xml:space="preserve">Dette nødvendiggør etableringen af et </w:t>
      </w:r>
      <w:r w:rsidRPr="00AC5579">
        <w:t xml:space="preserve">et formaliseret </w:t>
      </w:r>
      <w:r w:rsidR="009F6EBA">
        <w:t>samarbejds</w:t>
      </w:r>
      <w:r w:rsidR="009F6EBA" w:rsidRPr="00AC5579">
        <w:t xml:space="preserve">forum </w:t>
      </w:r>
      <w:r w:rsidRPr="00AC5579">
        <w:t xml:space="preserve">for betydende dataanvendere, </w:t>
      </w:r>
      <w:r w:rsidR="00D965C2">
        <w:t>herunder</w:t>
      </w:r>
      <w:r>
        <w:t xml:space="preserve"> den finansielle sektor og ejendomsbranchen. Der etableres e</w:t>
      </w:r>
      <w:r w:rsidR="009F6EBA">
        <w:t>t</w:t>
      </w:r>
      <w:r>
        <w:t xml:space="preserve"> </w:t>
      </w:r>
      <w:r w:rsidR="009F6EBA">
        <w:t>kommunikationsforum</w:t>
      </w:r>
      <w:r>
        <w:t>, som for kommunikation om de tekniske</w:t>
      </w:r>
      <w:r w:rsidR="009F6EBA">
        <w:t xml:space="preserve"> og andre</w:t>
      </w:r>
      <w:r>
        <w:t xml:space="preserve"> forandringer programmet medfører. </w:t>
      </w:r>
      <w:r w:rsidR="00670A86">
        <w:t>Programmet varetage</w:t>
      </w:r>
      <w:r w:rsidR="009F6EBA">
        <w:t>r</w:t>
      </w:r>
      <w:r w:rsidRPr="00AC5579">
        <w:t xml:space="preserve"> denne form for tværgående kommunikation. </w:t>
      </w:r>
      <w:r>
        <w:t xml:space="preserve"> </w:t>
      </w:r>
      <w:r w:rsidR="00670A86">
        <w:t>Pro</w:t>
      </w:r>
      <w:r w:rsidR="009E422C">
        <w:t xml:space="preserve">grammet håndterer ikke </w:t>
      </w:r>
      <w:r w:rsidR="009F6EBA">
        <w:t xml:space="preserve">kommunikationen </w:t>
      </w:r>
      <w:r w:rsidR="009E422C">
        <w:t xml:space="preserve">med </w:t>
      </w:r>
      <w:r w:rsidR="00670A86">
        <w:t xml:space="preserve">aktører og samarbejdspartnere, hvor samarbejdet primært </w:t>
      </w:r>
      <w:r w:rsidR="00D965C2">
        <w:t>har betydning for</w:t>
      </w:r>
      <w:r w:rsidR="00670A86">
        <w:t xml:space="preserve"> de enkelte projekt</w:t>
      </w:r>
      <w:r w:rsidR="006C26F0">
        <w:t>er</w:t>
      </w:r>
      <w:r w:rsidR="00D965C2">
        <w:t xml:space="preserve">. Eksempel: </w:t>
      </w:r>
      <w:r w:rsidR="00DE2785">
        <w:t>GST</w:t>
      </w:r>
      <w:r w:rsidR="009F6EBA">
        <w:t xml:space="preserve">GST  </w:t>
      </w:r>
      <w:r w:rsidR="00D965C2">
        <w:t>kommunik</w:t>
      </w:r>
      <w:r w:rsidR="009E422C">
        <w:t xml:space="preserve">erer – uden om programmet  - </w:t>
      </w:r>
      <w:r w:rsidR="00670A86">
        <w:t xml:space="preserve"> med P</w:t>
      </w:r>
      <w:r w:rsidR="006C26F0">
        <w:t xml:space="preserve">raktiserende Landinspektører i </w:t>
      </w:r>
      <w:r w:rsidR="009E422C">
        <w:t>spørgsmål i relation til Matriklen.</w:t>
      </w:r>
    </w:p>
    <w:p w:rsidR="008B77EA" w:rsidRPr="00AC5579" w:rsidRDefault="00F476BD" w:rsidP="002261C8">
      <w:pPr>
        <w:pStyle w:val="Overskrift1"/>
        <w:tabs>
          <w:tab w:val="clear" w:pos="794"/>
          <w:tab w:val="left" w:pos="567"/>
          <w:tab w:val="left" w:pos="851"/>
          <w:tab w:val="left" w:pos="1134"/>
        </w:tabs>
        <w:spacing w:before="0" w:after="120" w:line="288" w:lineRule="auto"/>
        <w:ind w:left="567" w:hanging="567"/>
      </w:pPr>
      <w:bookmarkStart w:id="78" w:name="_Toc341024651"/>
      <w:r w:rsidRPr="00AC5579">
        <w:lastRenderedPageBreak/>
        <w:t>Økonomi</w:t>
      </w:r>
      <w:bookmarkEnd w:id="78"/>
      <w:r w:rsidRPr="00AC5579">
        <w:t xml:space="preserve"> </w:t>
      </w:r>
    </w:p>
    <w:p w:rsidR="004D0CC2" w:rsidRDefault="004D0CC2" w:rsidP="004D0CC2">
      <w:pPr>
        <w:pStyle w:val="Overskrift2"/>
      </w:pPr>
      <w:r>
        <w:t>Omkostninger</w:t>
      </w:r>
    </w:p>
    <w:p w:rsidR="00B96BA3" w:rsidRPr="00AC5579" w:rsidRDefault="009E26DF" w:rsidP="009C578E">
      <w:r w:rsidRPr="00AC5579">
        <w:t xml:space="preserve">Nedenstående tabel </w:t>
      </w:r>
      <w:r w:rsidR="00C9595A" w:rsidRPr="00AC5579">
        <w:t xml:space="preserve">sammenfatter </w:t>
      </w:r>
      <w:r w:rsidR="00086E1B" w:rsidRPr="00AC5579">
        <w:t>omkostningerne</w:t>
      </w:r>
      <w:r w:rsidR="00882820" w:rsidRPr="00AC5579">
        <w:t xml:space="preserve"> til at gennemføre </w:t>
      </w:r>
      <w:r w:rsidR="00267286" w:rsidRPr="00AC5579">
        <w:t>programmet</w:t>
      </w:r>
      <w:r w:rsidR="00086E1B" w:rsidRPr="00AC5579">
        <w:t xml:space="preserve"> </w:t>
      </w:r>
      <w:r w:rsidR="00882820" w:rsidRPr="00AC5579">
        <w:t xml:space="preserve">om </w:t>
      </w:r>
      <w:r w:rsidR="007E4401">
        <w:rPr>
          <w:i/>
        </w:rPr>
        <w:t>Effektiv ejendomsforvaltning</w:t>
      </w:r>
      <w:r w:rsidR="00882820" w:rsidRPr="00AC5579">
        <w:rPr>
          <w:i/>
        </w:rPr>
        <w:t xml:space="preserve"> og genbrug af ejendomsdata</w:t>
      </w:r>
      <w:r w:rsidR="00882820" w:rsidRPr="00AC5579">
        <w:t xml:space="preserve">. </w:t>
      </w:r>
      <w:r w:rsidR="00B96BA3" w:rsidRPr="00AC5579">
        <w:t xml:space="preserve">Omkostningerne </w:t>
      </w:r>
      <w:r w:rsidR="00B53FEA">
        <w:t>indgår i aftalens business case.</w:t>
      </w:r>
    </w:p>
    <w:p w:rsidR="00E57C81" w:rsidRDefault="00E57C81" w:rsidP="009C578E"/>
    <w:p w:rsidR="003E7077" w:rsidRPr="00AC5579" w:rsidRDefault="00882820" w:rsidP="009C578E">
      <w:r w:rsidRPr="00AC5579">
        <w:t xml:space="preserve"> </w:t>
      </w:r>
    </w:p>
    <w:tbl>
      <w:tblPr>
        <w:tblW w:w="8662" w:type="dxa"/>
        <w:tblInd w:w="55" w:type="dxa"/>
        <w:tblCellMar>
          <w:left w:w="70" w:type="dxa"/>
          <w:right w:w="70" w:type="dxa"/>
        </w:tblCellMar>
        <w:tblLook w:val="04A0" w:firstRow="1" w:lastRow="0" w:firstColumn="1" w:lastColumn="0" w:noHBand="0" w:noVBand="1"/>
      </w:tblPr>
      <w:tblGrid>
        <w:gridCol w:w="2760"/>
        <w:gridCol w:w="480"/>
        <w:gridCol w:w="480"/>
        <w:gridCol w:w="480"/>
        <w:gridCol w:w="480"/>
        <w:gridCol w:w="480"/>
        <w:gridCol w:w="480"/>
        <w:gridCol w:w="480"/>
        <w:gridCol w:w="480"/>
        <w:gridCol w:w="480"/>
        <w:gridCol w:w="480"/>
        <w:gridCol w:w="480"/>
        <w:gridCol w:w="622"/>
      </w:tblGrid>
      <w:tr w:rsidR="00D2658F" w:rsidRPr="00E64EF1" w:rsidTr="00E64EF1">
        <w:trPr>
          <w:trHeight w:val="432"/>
        </w:trPr>
        <w:tc>
          <w:tcPr>
            <w:tcW w:w="2760" w:type="dxa"/>
            <w:tcBorders>
              <w:top w:val="single" w:sz="8" w:space="0" w:color="auto"/>
              <w:left w:val="single" w:sz="8" w:space="0" w:color="auto"/>
              <w:bottom w:val="single" w:sz="8" w:space="0" w:color="auto"/>
              <w:right w:val="nil"/>
            </w:tcBorders>
            <w:shd w:val="clear" w:color="000000" w:fill="A6A6A6"/>
            <w:noWrap/>
            <w:vAlign w:val="bottom"/>
            <w:hideMark/>
          </w:tcPr>
          <w:p w:rsidR="00D2658F" w:rsidRPr="00E64EF1" w:rsidRDefault="00D2658F" w:rsidP="00D2658F">
            <w:pPr>
              <w:jc w:val="left"/>
              <w:rPr>
                <w:rFonts w:cs="Arial"/>
                <w:b/>
                <w:bCs/>
                <w:color w:val="FFFFFF"/>
                <w:sz w:val="12"/>
                <w:szCs w:val="10"/>
              </w:rPr>
            </w:pPr>
            <w:r w:rsidRPr="00E64EF1">
              <w:rPr>
                <w:rFonts w:cs="Arial"/>
                <w:b/>
                <w:bCs/>
                <w:color w:val="FFFFFF"/>
                <w:sz w:val="12"/>
                <w:szCs w:val="10"/>
              </w:rPr>
              <w:t>AKTIVITET</w:t>
            </w:r>
          </w:p>
        </w:tc>
        <w:tc>
          <w:tcPr>
            <w:tcW w:w="48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2013</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2014</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2015</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2016</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2017</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2018</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2019</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2020</w:t>
            </w:r>
          </w:p>
        </w:tc>
        <w:tc>
          <w:tcPr>
            <w:tcW w:w="480"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2021</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2022</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2023</w:t>
            </w:r>
          </w:p>
        </w:tc>
        <w:tc>
          <w:tcPr>
            <w:tcW w:w="622"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D2658F" w:rsidRPr="00E64EF1" w:rsidRDefault="00D2658F" w:rsidP="00D2658F">
            <w:pPr>
              <w:jc w:val="center"/>
              <w:rPr>
                <w:rFonts w:cs="Arial"/>
                <w:b/>
                <w:bCs/>
                <w:color w:val="FFFFFF"/>
                <w:sz w:val="12"/>
                <w:szCs w:val="10"/>
              </w:rPr>
            </w:pPr>
            <w:r w:rsidRPr="00E64EF1">
              <w:rPr>
                <w:rFonts w:cs="Arial"/>
                <w:b/>
                <w:bCs/>
                <w:color w:val="FFFFFF"/>
                <w:sz w:val="12"/>
                <w:szCs w:val="10"/>
              </w:rPr>
              <w:t>2013 -</w:t>
            </w:r>
            <w:r w:rsidRPr="00E64EF1">
              <w:rPr>
                <w:rFonts w:cs="Arial"/>
                <w:b/>
                <w:bCs/>
                <w:color w:val="FFFFFF"/>
                <w:sz w:val="12"/>
                <w:szCs w:val="10"/>
              </w:rPr>
              <w:br/>
              <w:t xml:space="preserve">2023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D2658F" w:rsidRPr="00E64EF1" w:rsidRDefault="00D2658F" w:rsidP="00D2658F">
            <w:pPr>
              <w:jc w:val="left"/>
              <w:outlineLvl w:val="0"/>
              <w:rPr>
                <w:rFonts w:cs="Arial"/>
                <w:b/>
                <w:bCs/>
                <w:sz w:val="12"/>
                <w:szCs w:val="10"/>
              </w:rPr>
            </w:pPr>
            <w:r w:rsidRPr="00E64EF1">
              <w:rPr>
                <w:rFonts w:cs="Arial"/>
                <w:b/>
                <w:bCs/>
                <w:sz w:val="12"/>
                <w:szCs w:val="10"/>
              </w:rPr>
              <w:t>Tinglysningsretten</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Projektledelse Ejerfortegnelse (forretning)</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color w:val="FF0000"/>
                <w:sz w:val="12"/>
                <w:szCs w:val="10"/>
              </w:rPr>
            </w:pPr>
            <w:r w:rsidRPr="00E64EF1">
              <w:rPr>
                <w:rFonts w:cs="Arial"/>
                <w:color w:val="FF0000"/>
                <w:sz w:val="12"/>
                <w:szCs w:val="10"/>
              </w:rPr>
              <w:t xml:space="preserve">-0,37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-0,38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-2,25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Projektomk. Ejerfortegnelse</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-1,24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-1,24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-2,48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Samlet udvikling af EF og Tingbog</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-0,37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-5,72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-5,72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-11,81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Samlet drift Ejerfortegnelse</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-2,45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-2,45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-2,45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-2,45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-22,05 </w:t>
            </w:r>
          </w:p>
        </w:tc>
      </w:tr>
      <w:tr w:rsidR="00D2658F" w:rsidRPr="00E64EF1" w:rsidTr="00E64EF1">
        <w:trPr>
          <w:trHeight w:val="228"/>
        </w:trPr>
        <w:tc>
          <w:tcPr>
            <w:tcW w:w="2760" w:type="dxa"/>
            <w:tcBorders>
              <w:top w:val="nil"/>
              <w:left w:val="single" w:sz="8" w:space="0" w:color="auto"/>
              <w:bottom w:val="nil"/>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Datavask Tingbog</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-0,25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-0,25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-0,50 </w:t>
            </w:r>
          </w:p>
        </w:tc>
      </w:tr>
      <w:tr w:rsidR="00D2658F" w:rsidRPr="00E64EF1" w:rsidTr="00E64EF1">
        <w:trPr>
          <w:trHeight w:val="228"/>
        </w:trPr>
        <w:tc>
          <w:tcPr>
            <w:tcW w:w="27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2658F" w:rsidRPr="00E64EF1" w:rsidRDefault="00D2658F" w:rsidP="00D2658F">
            <w:pPr>
              <w:jc w:val="right"/>
              <w:rPr>
                <w:rFonts w:cs="Arial"/>
                <w:b/>
                <w:bCs/>
                <w:sz w:val="12"/>
                <w:szCs w:val="10"/>
              </w:rPr>
            </w:pPr>
            <w:r w:rsidRPr="00E64EF1">
              <w:rPr>
                <w:rFonts w:cs="Arial"/>
                <w:b/>
                <w:bCs/>
                <w:sz w:val="12"/>
                <w:szCs w:val="10"/>
              </w:rPr>
              <w:t>Tinglysningsretten i alt</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-0,62 </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-7,97 </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-10,16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-2,83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-2,45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-2,45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-2,45 </w:t>
            </w:r>
          </w:p>
        </w:tc>
        <w:tc>
          <w:tcPr>
            <w:tcW w:w="480" w:type="dxa"/>
            <w:tcBorders>
              <w:top w:val="single" w:sz="4" w:space="0" w:color="auto"/>
              <w:left w:val="nil"/>
              <w:bottom w:val="single" w:sz="8" w:space="0" w:color="auto"/>
              <w:right w:val="nil"/>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-2,45 </w:t>
            </w:r>
          </w:p>
        </w:tc>
        <w:tc>
          <w:tcPr>
            <w:tcW w:w="4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-2,45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-2,45 </w:t>
            </w:r>
          </w:p>
        </w:tc>
        <w:tc>
          <w:tcPr>
            <w:tcW w:w="480" w:type="dxa"/>
            <w:tcBorders>
              <w:top w:val="single" w:sz="4" w:space="0" w:color="auto"/>
              <w:left w:val="nil"/>
              <w:bottom w:val="single" w:sz="8" w:space="0" w:color="auto"/>
              <w:right w:val="nil"/>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-2,45 </w:t>
            </w:r>
          </w:p>
        </w:tc>
        <w:tc>
          <w:tcPr>
            <w:tcW w:w="622" w:type="dxa"/>
            <w:tcBorders>
              <w:top w:val="nil"/>
              <w:left w:val="single" w:sz="8" w:space="0" w:color="auto"/>
              <w:bottom w:val="single" w:sz="8" w:space="0" w:color="auto"/>
              <w:right w:val="single" w:sz="8" w:space="0" w:color="auto"/>
            </w:tcBorders>
            <w:shd w:val="clear" w:color="auto" w:fill="auto"/>
            <w:noWrap/>
            <w:vAlign w:val="center"/>
            <w:hideMark/>
          </w:tcPr>
          <w:p w:rsidR="00D2658F" w:rsidRPr="00E64EF1" w:rsidRDefault="00D2658F" w:rsidP="00E64EF1">
            <w:pPr>
              <w:jc w:val="right"/>
              <w:rPr>
                <w:rFonts w:cs="Arial"/>
                <w:sz w:val="12"/>
                <w:szCs w:val="10"/>
              </w:rPr>
            </w:pPr>
            <w:r w:rsidRPr="00E64EF1">
              <w:rPr>
                <w:rFonts w:cs="Arial"/>
                <w:color w:val="FF0000"/>
                <w:sz w:val="12"/>
                <w:szCs w:val="10"/>
              </w:rPr>
              <w:t xml:space="preserve">-38,73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D2658F" w:rsidRPr="00E64EF1" w:rsidRDefault="00D2658F" w:rsidP="00D2658F">
            <w:pPr>
              <w:jc w:val="left"/>
              <w:outlineLvl w:val="0"/>
              <w:rPr>
                <w:rFonts w:cs="Arial"/>
                <w:b/>
                <w:bCs/>
                <w:sz w:val="12"/>
                <w:szCs w:val="10"/>
              </w:rPr>
            </w:pPr>
            <w:r w:rsidRPr="00E64EF1">
              <w:rPr>
                <w:rFonts w:cs="Arial"/>
                <w:b/>
                <w:bCs/>
                <w:sz w:val="12"/>
                <w:szCs w:val="10"/>
              </w:rPr>
              <w:t>GST</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Projektledelse Matrikel-udvidelse (forretning)</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-2,25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Projektomk. Matriklen</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-0,94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-0,14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-1,78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Udvikling af registerudvidelse Matrikel i alt</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-4,60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-11,01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-18,61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Drift af registerudvidelse Matriklen</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-1,22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-2,43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-2,43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-2,43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-2,43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-20,66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Datavask Matriklen i alt</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-1,96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-8,00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-11,96 </w:t>
            </w:r>
          </w:p>
        </w:tc>
      </w:tr>
      <w:tr w:rsidR="00D2658F" w:rsidRPr="00E64EF1" w:rsidTr="00E64EF1">
        <w:trPr>
          <w:trHeight w:val="228"/>
        </w:trPr>
        <w:tc>
          <w:tcPr>
            <w:tcW w:w="2760" w:type="dxa"/>
            <w:tcBorders>
              <w:top w:val="nil"/>
              <w:left w:val="single" w:sz="8" w:space="0" w:color="auto"/>
              <w:bottom w:val="nil"/>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Ændret proces i Matriklen</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0,58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1,15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1,15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1,15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1,15 </w:t>
            </w:r>
          </w:p>
        </w:tc>
        <w:tc>
          <w:tcPr>
            <w:tcW w:w="480" w:type="dxa"/>
            <w:tcBorders>
              <w:top w:val="nil"/>
              <w:left w:val="nil"/>
              <w:bottom w:val="nil"/>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1,15 </w:t>
            </w:r>
          </w:p>
        </w:tc>
        <w:tc>
          <w:tcPr>
            <w:tcW w:w="480" w:type="dxa"/>
            <w:tcBorders>
              <w:top w:val="nil"/>
              <w:left w:val="single" w:sz="4" w:space="0" w:color="auto"/>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1,15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1,15 </w:t>
            </w:r>
          </w:p>
        </w:tc>
        <w:tc>
          <w:tcPr>
            <w:tcW w:w="480" w:type="dxa"/>
            <w:tcBorders>
              <w:top w:val="nil"/>
              <w:left w:val="nil"/>
              <w:bottom w:val="nil"/>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1,15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9,78 </w:t>
            </w:r>
          </w:p>
        </w:tc>
      </w:tr>
      <w:tr w:rsidR="00D2658F" w:rsidRPr="00E64EF1" w:rsidTr="00E64EF1">
        <w:trPr>
          <w:trHeight w:val="228"/>
        </w:trPr>
        <w:tc>
          <w:tcPr>
            <w:tcW w:w="2760" w:type="dxa"/>
            <w:tcBorders>
              <w:top w:val="single" w:sz="4" w:space="0" w:color="auto"/>
              <w:left w:val="single" w:sz="8" w:space="0" w:color="auto"/>
              <w:bottom w:val="nil"/>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Registrering af ejerlejlighed og BPLG</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-0,43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-0,85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-0,85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-0,85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-0,85 </w:t>
            </w:r>
          </w:p>
        </w:tc>
        <w:tc>
          <w:tcPr>
            <w:tcW w:w="480" w:type="dxa"/>
            <w:tcBorders>
              <w:top w:val="single" w:sz="4" w:space="0" w:color="auto"/>
              <w:left w:val="nil"/>
              <w:bottom w:val="nil"/>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-0,85 </w:t>
            </w:r>
          </w:p>
        </w:tc>
        <w:tc>
          <w:tcPr>
            <w:tcW w:w="480" w:type="dxa"/>
            <w:tcBorders>
              <w:top w:val="single" w:sz="4" w:space="0" w:color="auto"/>
              <w:left w:val="single" w:sz="4" w:space="0" w:color="auto"/>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-0,85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-0,85 </w:t>
            </w:r>
          </w:p>
        </w:tc>
        <w:tc>
          <w:tcPr>
            <w:tcW w:w="480" w:type="dxa"/>
            <w:tcBorders>
              <w:top w:val="single" w:sz="4" w:space="0" w:color="auto"/>
              <w:left w:val="nil"/>
              <w:bottom w:val="nil"/>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-0,85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-7,23 </w:t>
            </w:r>
          </w:p>
        </w:tc>
      </w:tr>
      <w:tr w:rsidR="00D2658F" w:rsidRPr="00E64EF1" w:rsidTr="00E64EF1">
        <w:trPr>
          <w:trHeight w:val="228"/>
        </w:trPr>
        <w:tc>
          <w:tcPr>
            <w:tcW w:w="27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2658F" w:rsidRPr="00E64EF1" w:rsidRDefault="00D2658F" w:rsidP="00D2658F">
            <w:pPr>
              <w:jc w:val="right"/>
              <w:rPr>
                <w:rFonts w:cs="Arial"/>
                <w:b/>
                <w:bCs/>
                <w:sz w:val="12"/>
                <w:szCs w:val="10"/>
              </w:rPr>
            </w:pPr>
            <w:r w:rsidRPr="00E64EF1">
              <w:rPr>
                <w:rFonts w:cs="Arial"/>
                <w:b/>
                <w:bCs/>
                <w:sz w:val="12"/>
                <w:szCs w:val="10"/>
              </w:rPr>
              <w:t>GST i alt</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-6,56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-20,70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-6,96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-2,13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-2,13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-2,13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-2,13 </w:t>
            </w:r>
          </w:p>
        </w:tc>
        <w:tc>
          <w:tcPr>
            <w:tcW w:w="480" w:type="dxa"/>
            <w:tcBorders>
              <w:top w:val="single" w:sz="4" w:space="0" w:color="auto"/>
              <w:left w:val="nil"/>
              <w:bottom w:val="single" w:sz="8" w:space="0" w:color="auto"/>
              <w:right w:val="nil"/>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-2,13 </w:t>
            </w:r>
          </w:p>
        </w:tc>
        <w:tc>
          <w:tcPr>
            <w:tcW w:w="48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-2,13 </w:t>
            </w:r>
          </w:p>
        </w:tc>
        <w:tc>
          <w:tcPr>
            <w:tcW w:w="480" w:type="dxa"/>
            <w:tcBorders>
              <w:top w:val="single" w:sz="4"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-2,13 </w:t>
            </w:r>
          </w:p>
        </w:tc>
        <w:tc>
          <w:tcPr>
            <w:tcW w:w="480" w:type="dxa"/>
            <w:tcBorders>
              <w:top w:val="single" w:sz="4" w:space="0" w:color="auto"/>
              <w:left w:val="nil"/>
              <w:bottom w:val="single" w:sz="8" w:space="0" w:color="auto"/>
              <w:right w:val="nil"/>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-2,13 </w:t>
            </w:r>
          </w:p>
        </w:tc>
        <w:tc>
          <w:tcPr>
            <w:tcW w:w="622" w:type="dxa"/>
            <w:tcBorders>
              <w:top w:val="nil"/>
              <w:left w:val="single" w:sz="8" w:space="0" w:color="auto"/>
              <w:bottom w:val="nil"/>
              <w:right w:val="single" w:sz="8" w:space="0" w:color="auto"/>
            </w:tcBorders>
            <w:shd w:val="clear" w:color="auto" w:fill="auto"/>
            <w:noWrap/>
            <w:vAlign w:val="center"/>
            <w:hideMark/>
          </w:tcPr>
          <w:p w:rsidR="00D2658F" w:rsidRPr="00E64EF1" w:rsidRDefault="00D2658F" w:rsidP="00E64EF1">
            <w:pPr>
              <w:jc w:val="right"/>
              <w:rPr>
                <w:rFonts w:cs="Arial"/>
                <w:sz w:val="12"/>
                <w:szCs w:val="10"/>
              </w:rPr>
            </w:pPr>
            <w:r w:rsidRPr="00E64EF1">
              <w:rPr>
                <w:rFonts w:cs="Arial"/>
                <w:color w:val="FF0000"/>
                <w:sz w:val="12"/>
                <w:szCs w:val="10"/>
              </w:rPr>
              <w:t xml:space="preserve">-51,26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D2658F" w:rsidRPr="00E64EF1" w:rsidRDefault="00D2658F" w:rsidP="00D2658F">
            <w:pPr>
              <w:jc w:val="left"/>
              <w:outlineLvl w:val="0"/>
              <w:rPr>
                <w:rFonts w:cs="Arial"/>
                <w:b/>
                <w:bCs/>
                <w:sz w:val="12"/>
                <w:szCs w:val="10"/>
              </w:rPr>
            </w:pPr>
            <w:r w:rsidRPr="00E64EF1">
              <w:rPr>
                <w:rFonts w:cs="Arial"/>
                <w:b/>
                <w:bCs/>
                <w:sz w:val="12"/>
                <w:szCs w:val="10"/>
              </w:rPr>
              <w:t>MBBL</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62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E81AE1" w:rsidP="00D2658F">
            <w:pPr>
              <w:jc w:val="left"/>
              <w:outlineLvl w:val="0"/>
              <w:rPr>
                <w:rFonts w:cs="Arial"/>
                <w:sz w:val="12"/>
                <w:szCs w:val="10"/>
              </w:rPr>
            </w:pPr>
            <w:r w:rsidRPr="00E64EF1">
              <w:rPr>
                <w:rFonts w:cs="Arial"/>
                <w:sz w:val="12"/>
                <w:szCs w:val="10"/>
              </w:rPr>
              <w:t>Profram</w:t>
            </w:r>
            <w:r w:rsidR="00D2658F" w:rsidRPr="00E64EF1">
              <w:rPr>
                <w:rFonts w:cs="Arial"/>
                <w:sz w:val="12"/>
                <w:szCs w:val="10"/>
              </w:rPr>
              <w:t>Vedvarende styringsmodel i alt</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-3,60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-3,05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-2,55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-2,55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-2,55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-2,55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-2,55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-2,55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-29,55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Projektledelse BBR-udvidelse (forretning)</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-2,25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Projektomk BBR</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-1,10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-1,10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-2,20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Datavask BBR i alt</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-2,25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Udvikling af registerudvidelse BBR</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-6,29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-6,29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-12,58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Modernisering og change management BBR</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-4,30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-4,05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-3,80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-3,80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-3,80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-3,80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-3,80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-3,80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-31,15 </w:t>
            </w:r>
          </w:p>
        </w:tc>
      </w:tr>
      <w:tr w:rsidR="00D2658F" w:rsidRPr="00E64EF1" w:rsidTr="00E64EF1">
        <w:trPr>
          <w:trHeight w:val="228"/>
        </w:trPr>
        <w:tc>
          <w:tcPr>
            <w:tcW w:w="2760" w:type="dxa"/>
            <w:tcBorders>
              <w:top w:val="nil"/>
              <w:left w:val="single" w:sz="8" w:space="0" w:color="auto"/>
              <w:bottom w:val="single" w:sz="8" w:space="0" w:color="auto"/>
              <w:right w:val="single" w:sz="8" w:space="0" w:color="auto"/>
            </w:tcBorders>
            <w:shd w:val="clear" w:color="auto" w:fill="auto"/>
            <w:vAlign w:val="center"/>
            <w:hideMark/>
          </w:tcPr>
          <w:p w:rsidR="00D2658F" w:rsidRPr="00E64EF1" w:rsidRDefault="00D2658F" w:rsidP="00D2658F">
            <w:pPr>
              <w:jc w:val="left"/>
              <w:outlineLvl w:val="0"/>
              <w:rPr>
                <w:rFonts w:cs="Arial"/>
                <w:sz w:val="12"/>
                <w:szCs w:val="10"/>
              </w:rPr>
            </w:pPr>
            <w:r w:rsidRPr="00E64EF1">
              <w:rPr>
                <w:rFonts w:cs="Arial"/>
                <w:sz w:val="12"/>
                <w:szCs w:val="10"/>
              </w:rPr>
              <w:t>Specifikation harmoniseret arealbegreb BBR</w:t>
            </w:r>
          </w:p>
        </w:tc>
        <w:tc>
          <w:tcPr>
            <w:tcW w:w="480" w:type="dxa"/>
            <w:tcBorders>
              <w:top w:val="nil"/>
              <w:left w:val="nil"/>
              <w:bottom w:val="nil"/>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-0,50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-1,50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-1,50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nil"/>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8"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-5,50 </w:t>
            </w:r>
          </w:p>
        </w:tc>
      </w:tr>
      <w:tr w:rsidR="00D2658F" w:rsidRPr="00E64EF1" w:rsidTr="00E64EF1">
        <w:trPr>
          <w:trHeight w:val="228"/>
        </w:trPr>
        <w:tc>
          <w:tcPr>
            <w:tcW w:w="2760" w:type="dxa"/>
            <w:tcBorders>
              <w:top w:val="nil"/>
              <w:left w:val="single" w:sz="8" w:space="0" w:color="auto"/>
              <w:bottom w:val="double" w:sz="6" w:space="0" w:color="auto"/>
              <w:right w:val="single" w:sz="8" w:space="0" w:color="auto"/>
            </w:tcBorders>
            <w:shd w:val="clear" w:color="auto" w:fill="auto"/>
            <w:vAlign w:val="center"/>
            <w:hideMark/>
          </w:tcPr>
          <w:p w:rsidR="00D2658F" w:rsidRPr="00E64EF1" w:rsidRDefault="00D2658F" w:rsidP="00D2658F">
            <w:pPr>
              <w:jc w:val="left"/>
              <w:outlineLvl w:val="0"/>
              <w:rPr>
                <w:rFonts w:cs="Arial"/>
                <w:b/>
                <w:bCs/>
                <w:sz w:val="12"/>
                <w:szCs w:val="10"/>
              </w:rPr>
            </w:pPr>
            <w:r w:rsidRPr="00E64EF1">
              <w:rPr>
                <w:rFonts w:cs="Arial"/>
                <w:b/>
                <w:bCs/>
                <w:sz w:val="12"/>
                <w:szCs w:val="10"/>
              </w:rPr>
              <w:t>MBBL i alt, excl. OIS</w:t>
            </w:r>
          </w:p>
        </w:tc>
        <w:tc>
          <w:tcPr>
            <w:tcW w:w="480" w:type="dxa"/>
            <w:tcBorders>
              <w:top w:val="single" w:sz="8" w:space="0" w:color="auto"/>
              <w:left w:val="nil"/>
              <w:bottom w:val="double" w:sz="6"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-2,75 </w:t>
            </w:r>
          </w:p>
        </w:tc>
        <w:tc>
          <w:tcPr>
            <w:tcW w:w="480" w:type="dxa"/>
            <w:tcBorders>
              <w:top w:val="single" w:sz="8" w:space="0" w:color="auto"/>
              <w:left w:val="nil"/>
              <w:bottom w:val="double" w:sz="6"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-11,94 </w:t>
            </w:r>
          </w:p>
        </w:tc>
        <w:tc>
          <w:tcPr>
            <w:tcW w:w="480" w:type="dxa"/>
            <w:tcBorders>
              <w:top w:val="single" w:sz="8" w:space="0" w:color="auto"/>
              <w:left w:val="nil"/>
              <w:bottom w:val="double" w:sz="6"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-11,44 </w:t>
            </w:r>
          </w:p>
        </w:tc>
        <w:tc>
          <w:tcPr>
            <w:tcW w:w="480" w:type="dxa"/>
            <w:tcBorders>
              <w:top w:val="single" w:sz="8" w:space="0" w:color="auto"/>
              <w:left w:val="nil"/>
              <w:bottom w:val="double" w:sz="6"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-8,40 </w:t>
            </w:r>
          </w:p>
        </w:tc>
        <w:tc>
          <w:tcPr>
            <w:tcW w:w="480" w:type="dxa"/>
            <w:tcBorders>
              <w:top w:val="single" w:sz="8" w:space="0" w:color="auto"/>
              <w:left w:val="nil"/>
              <w:bottom w:val="double" w:sz="6"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-9,10 </w:t>
            </w:r>
          </w:p>
        </w:tc>
        <w:tc>
          <w:tcPr>
            <w:tcW w:w="480" w:type="dxa"/>
            <w:tcBorders>
              <w:top w:val="single" w:sz="8" w:space="0" w:color="auto"/>
              <w:left w:val="nil"/>
              <w:bottom w:val="double" w:sz="6"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-7,85 </w:t>
            </w:r>
          </w:p>
        </w:tc>
        <w:tc>
          <w:tcPr>
            <w:tcW w:w="480" w:type="dxa"/>
            <w:tcBorders>
              <w:top w:val="single" w:sz="8" w:space="0" w:color="auto"/>
              <w:left w:val="nil"/>
              <w:bottom w:val="double" w:sz="6"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-6,35 </w:t>
            </w:r>
          </w:p>
        </w:tc>
        <w:tc>
          <w:tcPr>
            <w:tcW w:w="480" w:type="dxa"/>
            <w:tcBorders>
              <w:top w:val="single" w:sz="8" w:space="0" w:color="auto"/>
              <w:left w:val="nil"/>
              <w:bottom w:val="double" w:sz="6" w:space="0" w:color="auto"/>
              <w:right w:val="nil"/>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-6,35 </w:t>
            </w:r>
          </w:p>
        </w:tc>
        <w:tc>
          <w:tcPr>
            <w:tcW w:w="480" w:type="dxa"/>
            <w:tcBorders>
              <w:top w:val="single" w:sz="8" w:space="0" w:color="auto"/>
              <w:left w:val="single" w:sz="4" w:space="0" w:color="auto"/>
              <w:bottom w:val="double" w:sz="6"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-7,85 </w:t>
            </w:r>
          </w:p>
        </w:tc>
        <w:tc>
          <w:tcPr>
            <w:tcW w:w="480" w:type="dxa"/>
            <w:tcBorders>
              <w:top w:val="single" w:sz="8" w:space="0" w:color="auto"/>
              <w:left w:val="nil"/>
              <w:bottom w:val="double" w:sz="6" w:space="0" w:color="auto"/>
              <w:right w:val="single" w:sz="4" w:space="0" w:color="auto"/>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-6,35 </w:t>
            </w:r>
          </w:p>
        </w:tc>
        <w:tc>
          <w:tcPr>
            <w:tcW w:w="480" w:type="dxa"/>
            <w:tcBorders>
              <w:top w:val="single" w:sz="8" w:space="0" w:color="auto"/>
              <w:left w:val="nil"/>
              <w:bottom w:val="double" w:sz="6" w:space="0" w:color="auto"/>
              <w:right w:val="nil"/>
            </w:tcBorders>
            <w:shd w:val="clear" w:color="auto" w:fill="auto"/>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-6,35 </w:t>
            </w:r>
          </w:p>
        </w:tc>
        <w:tc>
          <w:tcPr>
            <w:tcW w:w="622" w:type="dxa"/>
            <w:tcBorders>
              <w:top w:val="nil"/>
              <w:left w:val="single" w:sz="8" w:space="0" w:color="auto"/>
              <w:bottom w:val="double" w:sz="6"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-84,73 </w:t>
            </w:r>
          </w:p>
        </w:tc>
      </w:tr>
      <w:tr w:rsidR="00D2658F" w:rsidRPr="00E64EF1" w:rsidTr="00E64EF1">
        <w:trPr>
          <w:trHeight w:val="228"/>
        </w:trPr>
        <w:tc>
          <w:tcPr>
            <w:tcW w:w="2760" w:type="dxa"/>
            <w:tcBorders>
              <w:top w:val="nil"/>
              <w:left w:val="single" w:sz="8" w:space="0" w:color="auto"/>
              <w:bottom w:val="nil"/>
              <w:right w:val="single" w:sz="8" w:space="0" w:color="auto"/>
            </w:tcBorders>
            <w:shd w:val="clear" w:color="auto" w:fill="auto"/>
            <w:vAlign w:val="center"/>
            <w:hideMark/>
          </w:tcPr>
          <w:p w:rsidR="00D2658F" w:rsidRPr="00E64EF1" w:rsidRDefault="00D2658F" w:rsidP="00D2658F">
            <w:pPr>
              <w:jc w:val="left"/>
              <w:outlineLvl w:val="0"/>
              <w:rPr>
                <w:rFonts w:cs="Arial"/>
                <w:b/>
                <w:bCs/>
                <w:sz w:val="12"/>
                <w:szCs w:val="10"/>
              </w:rPr>
            </w:pPr>
            <w:r w:rsidRPr="00E64EF1">
              <w:rPr>
                <w:rFonts w:cs="Arial"/>
                <w:b/>
                <w:bCs/>
                <w:sz w:val="12"/>
                <w:szCs w:val="10"/>
              </w:rPr>
              <w:t>OIS datatjenester i alt</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-1,50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-1,50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-1,50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-1,50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-1,50 </w:t>
            </w:r>
          </w:p>
        </w:tc>
        <w:tc>
          <w:tcPr>
            <w:tcW w:w="480" w:type="dxa"/>
            <w:tcBorders>
              <w:top w:val="nil"/>
              <w:left w:val="nil"/>
              <w:bottom w:val="nil"/>
              <w:right w:val="nil"/>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-1,50 </w:t>
            </w:r>
          </w:p>
        </w:tc>
        <w:tc>
          <w:tcPr>
            <w:tcW w:w="480" w:type="dxa"/>
            <w:tcBorders>
              <w:top w:val="nil"/>
              <w:left w:val="single" w:sz="4" w:space="0" w:color="auto"/>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-1,50 </w:t>
            </w:r>
          </w:p>
        </w:tc>
        <w:tc>
          <w:tcPr>
            <w:tcW w:w="480" w:type="dxa"/>
            <w:tcBorders>
              <w:top w:val="nil"/>
              <w:left w:val="nil"/>
              <w:bottom w:val="nil"/>
              <w:right w:val="single" w:sz="4" w:space="0" w:color="auto"/>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-1,50 </w:t>
            </w:r>
          </w:p>
        </w:tc>
        <w:tc>
          <w:tcPr>
            <w:tcW w:w="480" w:type="dxa"/>
            <w:tcBorders>
              <w:top w:val="nil"/>
              <w:left w:val="nil"/>
              <w:bottom w:val="nil"/>
              <w:right w:val="nil"/>
            </w:tcBorders>
            <w:shd w:val="clear" w:color="auto" w:fill="auto"/>
            <w:noWrap/>
            <w:vAlign w:val="center"/>
            <w:hideMark/>
          </w:tcPr>
          <w:p w:rsidR="00D2658F" w:rsidRPr="00E64EF1" w:rsidRDefault="00D2658F" w:rsidP="00E64EF1">
            <w:pPr>
              <w:jc w:val="right"/>
              <w:outlineLvl w:val="0"/>
              <w:rPr>
                <w:rFonts w:cs="Arial"/>
                <w:b/>
                <w:bCs/>
                <w:sz w:val="12"/>
                <w:szCs w:val="10"/>
              </w:rPr>
            </w:pPr>
            <w:r w:rsidRPr="00E64EF1">
              <w:rPr>
                <w:rFonts w:cs="Arial"/>
                <w:b/>
                <w:bCs/>
                <w:color w:val="FF0000"/>
                <w:sz w:val="12"/>
                <w:szCs w:val="10"/>
              </w:rPr>
              <w:t xml:space="preserve">-1,50 </w:t>
            </w:r>
          </w:p>
        </w:tc>
        <w:tc>
          <w:tcPr>
            <w:tcW w:w="622" w:type="dxa"/>
            <w:tcBorders>
              <w:top w:val="nil"/>
              <w:left w:val="single" w:sz="8" w:space="0" w:color="auto"/>
              <w:bottom w:val="nil"/>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-13,50 </w:t>
            </w:r>
          </w:p>
        </w:tc>
      </w:tr>
      <w:tr w:rsidR="00D2658F" w:rsidRPr="00E64EF1" w:rsidTr="00E64EF1">
        <w:trPr>
          <w:trHeight w:val="228"/>
        </w:trPr>
        <w:tc>
          <w:tcPr>
            <w:tcW w:w="2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658F" w:rsidRPr="00E64EF1" w:rsidRDefault="00D2658F" w:rsidP="00D2658F">
            <w:pPr>
              <w:jc w:val="right"/>
              <w:rPr>
                <w:rFonts w:cs="Arial"/>
                <w:b/>
                <w:bCs/>
                <w:sz w:val="12"/>
                <w:szCs w:val="10"/>
              </w:rPr>
            </w:pPr>
            <w:r w:rsidRPr="00E64EF1">
              <w:rPr>
                <w:rFonts w:cs="Arial"/>
                <w:b/>
                <w:bCs/>
                <w:sz w:val="12"/>
                <w:szCs w:val="10"/>
              </w:rPr>
              <w:t>MBBL  i alt, incl. OIS</w:t>
            </w:r>
          </w:p>
        </w:tc>
        <w:tc>
          <w:tcPr>
            <w:tcW w:w="480" w:type="dxa"/>
            <w:tcBorders>
              <w:top w:val="single" w:sz="8" w:space="0" w:color="auto"/>
              <w:left w:val="nil"/>
              <w:bottom w:val="single" w:sz="8" w:space="0" w:color="auto"/>
              <w:right w:val="single" w:sz="8" w:space="0" w:color="auto"/>
            </w:tcBorders>
            <w:shd w:val="clear" w:color="auto" w:fill="auto"/>
            <w:vAlign w:val="center"/>
            <w:hideMark/>
          </w:tcPr>
          <w:p w:rsidR="00D2658F" w:rsidRPr="00E64EF1" w:rsidRDefault="00D2658F" w:rsidP="00E64EF1">
            <w:pPr>
              <w:jc w:val="right"/>
              <w:rPr>
                <w:rFonts w:cs="Arial"/>
                <w:b/>
                <w:bCs/>
                <w:color w:val="FF0000"/>
                <w:sz w:val="12"/>
                <w:szCs w:val="10"/>
              </w:rPr>
            </w:pPr>
            <w:r w:rsidRPr="00E64EF1">
              <w:rPr>
                <w:rFonts w:cs="Arial"/>
                <w:b/>
                <w:bCs/>
                <w:color w:val="FF0000"/>
                <w:sz w:val="12"/>
                <w:szCs w:val="10"/>
              </w:rPr>
              <w:t xml:space="preserve">-2,75 </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-11,94 </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-12,94 </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-9,90 </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-10,60 </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-9,35 </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-7,85 </w:t>
            </w:r>
          </w:p>
        </w:tc>
        <w:tc>
          <w:tcPr>
            <w:tcW w:w="480" w:type="dxa"/>
            <w:tcBorders>
              <w:top w:val="single" w:sz="8" w:space="0" w:color="auto"/>
              <w:left w:val="nil"/>
              <w:bottom w:val="single" w:sz="8" w:space="0" w:color="auto"/>
              <w:right w:val="nil"/>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-7,85 </w:t>
            </w:r>
          </w:p>
        </w:tc>
        <w:tc>
          <w:tcPr>
            <w:tcW w:w="48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-9,35 </w:t>
            </w:r>
          </w:p>
        </w:tc>
        <w:tc>
          <w:tcPr>
            <w:tcW w:w="480" w:type="dxa"/>
            <w:tcBorders>
              <w:top w:val="single" w:sz="8" w:space="0" w:color="auto"/>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-7,85 </w:t>
            </w:r>
          </w:p>
        </w:tc>
        <w:tc>
          <w:tcPr>
            <w:tcW w:w="480" w:type="dxa"/>
            <w:tcBorders>
              <w:top w:val="single" w:sz="8" w:space="0" w:color="auto"/>
              <w:left w:val="nil"/>
              <w:bottom w:val="single" w:sz="8" w:space="0" w:color="auto"/>
              <w:right w:val="nil"/>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-7,85 </w:t>
            </w:r>
          </w:p>
        </w:tc>
        <w:tc>
          <w:tcPr>
            <w:tcW w:w="6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658F" w:rsidRPr="00E64EF1" w:rsidRDefault="00D2658F" w:rsidP="00E64EF1">
            <w:pPr>
              <w:jc w:val="right"/>
              <w:rPr>
                <w:rFonts w:cs="Arial"/>
                <w:sz w:val="12"/>
                <w:szCs w:val="10"/>
              </w:rPr>
            </w:pPr>
            <w:r w:rsidRPr="00E64EF1">
              <w:rPr>
                <w:rFonts w:cs="Arial"/>
                <w:color w:val="FF0000"/>
                <w:sz w:val="12"/>
                <w:szCs w:val="10"/>
              </w:rPr>
              <w:t xml:space="preserve">-98,23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noWrap/>
            <w:vAlign w:val="bottom"/>
            <w:hideMark/>
          </w:tcPr>
          <w:p w:rsidR="00D2658F" w:rsidRPr="00E64EF1" w:rsidRDefault="00D2658F" w:rsidP="00D2658F">
            <w:pPr>
              <w:jc w:val="left"/>
              <w:outlineLvl w:val="0"/>
              <w:rPr>
                <w:rFonts w:cs="Arial"/>
                <w:b/>
                <w:bCs/>
                <w:sz w:val="12"/>
                <w:szCs w:val="10"/>
              </w:rPr>
            </w:pPr>
            <w:r w:rsidRPr="00E64EF1">
              <w:rPr>
                <w:rFonts w:cs="Arial"/>
                <w:b/>
                <w:bCs/>
                <w:sz w:val="12"/>
                <w:szCs w:val="10"/>
              </w:rPr>
              <w:t>Kommunerne</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E64EF1">
            <w:pPr>
              <w:ind w:firstLineChars="100" w:firstLine="120"/>
              <w:jc w:val="left"/>
              <w:outlineLvl w:val="0"/>
              <w:rPr>
                <w:rFonts w:cs="Arial"/>
                <w:sz w:val="12"/>
                <w:szCs w:val="10"/>
              </w:rPr>
            </w:pPr>
            <w:r w:rsidRPr="00E64EF1">
              <w:rPr>
                <w:rFonts w:cs="Arial"/>
                <w:sz w:val="12"/>
                <w:szCs w:val="10"/>
              </w:rPr>
              <w:t>Datavask</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color w:val="FF0000"/>
                <w:sz w:val="12"/>
                <w:szCs w:val="10"/>
              </w:rPr>
            </w:pPr>
            <w:r w:rsidRPr="00E64EF1">
              <w:rPr>
                <w:rFonts w:cs="Arial"/>
                <w:color w:val="FF0000"/>
                <w:sz w:val="12"/>
                <w:szCs w:val="10"/>
              </w:rPr>
              <w:t xml:space="preserve">-0,67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-1,33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-2,00 </w:t>
            </w:r>
          </w:p>
        </w:tc>
      </w:tr>
      <w:tr w:rsidR="00D2658F" w:rsidRPr="00E64EF1" w:rsidTr="00E64EF1">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E64EF1" w:rsidRDefault="00D2658F" w:rsidP="00E64EF1">
            <w:pPr>
              <w:ind w:firstLineChars="100" w:firstLine="120"/>
              <w:jc w:val="left"/>
              <w:outlineLvl w:val="0"/>
              <w:rPr>
                <w:rFonts w:cs="Arial"/>
                <w:sz w:val="12"/>
                <w:szCs w:val="10"/>
              </w:rPr>
            </w:pPr>
            <w:r w:rsidRPr="00E64EF1">
              <w:rPr>
                <w:rFonts w:cs="Arial"/>
                <w:sz w:val="12"/>
                <w:szCs w:val="10"/>
              </w:rPr>
              <w:t>It-udvikling (ejendomsdata viewer)</w:t>
            </w:r>
          </w:p>
        </w:tc>
        <w:tc>
          <w:tcPr>
            <w:tcW w:w="480" w:type="dxa"/>
            <w:tcBorders>
              <w:top w:val="nil"/>
              <w:left w:val="nil"/>
              <w:bottom w:val="single" w:sz="4" w:space="0" w:color="auto"/>
              <w:right w:val="single" w:sz="4" w:space="0" w:color="auto"/>
            </w:tcBorders>
            <w:shd w:val="clear" w:color="auto" w:fill="auto"/>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outlineLvl w:val="0"/>
              <w:rPr>
                <w:rFonts w:cs="Arial"/>
                <w:sz w:val="12"/>
                <w:szCs w:val="10"/>
              </w:rPr>
            </w:pPr>
            <w:r w:rsidRPr="00E64EF1">
              <w:rPr>
                <w:rFonts w:cs="Arial"/>
                <w:color w:val="FF0000"/>
                <w:sz w:val="12"/>
                <w:szCs w:val="10"/>
              </w:rPr>
              <w:t xml:space="preserve">-1,00 </w:t>
            </w:r>
          </w:p>
        </w:tc>
      </w:tr>
      <w:tr w:rsidR="00D2658F" w:rsidRPr="00E64EF1" w:rsidTr="00E64EF1">
        <w:trPr>
          <w:trHeight w:val="228"/>
        </w:trPr>
        <w:tc>
          <w:tcPr>
            <w:tcW w:w="2760" w:type="dxa"/>
            <w:tcBorders>
              <w:top w:val="nil"/>
              <w:left w:val="single" w:sz="8" w:space="0" w:color="auto"/>
              <w:bottom w:val="single" w:sz="8" w:space="0" w:color="auto"/>
              <w:right w:val="single" w:sz="8" w:space="0" w:color="auto"/>
            </w:tcBorders>
            <w:shd w:val="clear" w:color="auto" w:fill="auto"/>
            <w:vAlign w:val="center"/>
            <w:hideMark/>
          </w:tcPr>
          <w:p w:rsidR="00D2658F" w:rsidRPr="00E64EF1" w:rsidRDefault="00D2658F" w:rsidP="00D2658F">
            <w:pPr>
              <w:jc w:val="right"/>
              <w:rPr>
                <w:rFonts w:cs="Arial"/>
                <w:b/>
                <w:bCs/>
                <w:sz w:val="12"/>
                <w:szCs w:val="10"/>
              </w:rPr>
            </w:pPr>
            <w:r w:rsidRPr="00E64EF1">
              <w:rPr>
                <w:rFonts w:cs="Arial"/>
                <w:b/>
                <w:bCs/>
                <w:sz w:val="12"/>
                <w:szCs w:val="10"/>
              </w:rPr>
              <w:t>Kommunerne i alt</w:t>
            </w:r>
          </w:p>
        </w:tc>
        <w:tc>
          <w:tcPr>
            <w:tcW w:w="480" w:type="dxa"/>
            <w:tcBorders>
              <w:top w:val="nil"/>
              <w:left w:val="nil"/>
              <w:bottom w:val="nil"/>
              <w:right w:val="single" w:sz="4" w:space="0" w:color="auto"/>
            </w:tcBorders>
            <w:shd w:val="clear" w:color="auto" w:fill="auto"/>
            <w:vAlign w:val="center"/>
            <w:hideMark/>
          </w:tcPr>
          <w:p w:rsidR="00D2658F" w:rsidRPr="00E64EF1" w:rsidRDefault="00D2658F" w:rsidP="00E64EF1">
            <w:pPr>
              <w:jc w:val="right"/>
              <w:rPr>
                <w:rFonts w:cs="Arial"/>
                <w:color w:val="FF0000"/>
                <w:sz w:val="12"/>
                <w:szCs w:val="10"/>
              </w:rPr>
            </w:pPr>
            <w:r w:rsidRPr="00E64EF1">
              <w:rPr>
                <w:rFonts w:cs="Arial"/>
                <w:color w:val="FF0000"/>
                <w:sz w:val="12"/>
                <w:szCs w:val="10"/>
              </w:rPr>
              <w:t xml:space="preserve">-0,67 </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-2,33 </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sz w:val="12"/>
                <w:szCs w:val="10"/>
              </w:rPr>
              <w:t xml:space="preserve">0,00 </w:t>
            </w:r>
          </w:p>
        </w:tc>
        <w:tc>
          <w:tcPr>
            <w:tcW w:w="480" w:type="dxa"/>
            <w:tcBorders>
              <w:top w:val="nil"/>
              <w:left w:val="nil"/>
              <w:bottom w:val="single" w:sz="8" w:space="0" w:color="auto"/>
              <w:right w:val="nil"/>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sz w:val="12"/>
                <w:szCs w:val="10"/>
              </w:rPr>
              <w:t xml:space="preserve">0,00 </w:t>
            </w:r>
          </w:p>
        </w:tc>
        <w:tc>
          <w:tcPr>
            <w:tcW w:w="480" w:type="dxa"/>
            <w:tcBorders>
              <w:top w:val="nil"/>
              <w:left w:val="single" w:sz="4" w:space="0" w:color="auto"/>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sz w:val="12"/>
                <w:szCs w:val="10"/>
              </w:rPr>
              <w:t xml:space="preserve">0,00 </w:t>
            </w:r>
          </w:p>
        </w:tc>
        <w:tc>
          <w:tcPr>
            <w:tcW w:w="480" w:type="dxa"/>
            <w:tcBorders>
              <w:top w:val="nil"/>
              <w:left w:val="nil"/>
              <w:bottom w:val="single" w:sz="8" w:space="0" w:color="auto"/>
              <w:right w:val="nil"/>
            </w:tcBorders>
            <w:shd w:val="clear" w:color="auto" w:fill="auto"/>
            <w:noWrap/>
            <w:vAlign w:val="center"/>
            <w:hideMark/>
          </w:tcPr>
          <w:p w:rsidR="00D2658F" w:rsidRPr="00E64EF1" w:rsidRDefault="00D2658F" w:rsidP="00E64EF1">
            <w:pPr>
              <w:jc w:val="right"/>
              <w:rPr>
                <w:rFonts w:cs="Arial"/>
                <w:b/>
                <w:bCs/>
                <w:sz w:val="12"/>
                <w:szCs w:val="10"/>
              </w:rPr>
            </w:pPr>
            <w:r w:rsidRPr="00E64EF1">
              <w:rPr>
                <w:rFonts w:cs="Arial"/>
                <w:b/>
                <w:bCs/>
                <w:sz w:val="12"/>
                <w:szCs w:val="10"/>
              </w:rPr>
              <w:t xml:space="preserve">0,00 </w:t>
            </w:r>
          </w:p>
        </w:tc>
        <w:tc>
          <w:tcPr>
            <w:tcW w:w="622" w:type="dxa"/>
            <w:tcBorders>
              <w:top w:val="nil"/>
              <w:left w:val="single" w:sz="8" w:space="0" w:color="auto"/>
              <w:bottom w:val="single" w:sz="4" w:space="0" w:color="auto"/>
              <w:right w:val="single" w:sz="8" w:space="0" w:color="auto"/>
            </w:tcBorders>
            <w:shd w:val="clear" w:color="auto" w:fill="auto"/>
            <w:noWrap/>
            <w:vAlign w:val="center"/>
            <w:hideMark/>
          </w:tcPr>
          <w:p w:rsidR="00D2658F" w:rsidRPr="00E64EF1" w:rsidRDefault="00D2658F" w:rsidP="00E64EF1">
            <w:pPr>
              <w:jc w:val="right"/>
              <w:rPr>
                <w:rFonts w:cs="Arial"/>
                <w:sz w:val="12"/>
                <w:szCs w:val="10"/>
              </w:rPr>
            </w:pPr>
            <w:r w:rsidRPr="00E64EF1">
              <w:rPr>
                <w:rFonts w:cs="Arial"/>
                <w:color w:val="FF0000"/>
                <w:sz w:val="12"/>
                <w:szCs w:val="10"/>
              </w:rPr>
              <w:t xml:space="preserve">-3,00 </w:t>
            </w:r>
          </w:p>
        </w:tc>
      </w:tr>
      <w:tr w:rsidR="00D2658F" w:rsidRPr="00E64EF1" w:rsidTr="00E64EF1">
        <w:trPr>
          <w:trHeight w:val="228"/>
        </w:trPr>
        <w:tc>
          <w:tcPr>
            <w:tcW w:w="2760" w:type="dxa"/>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rsidR="00D2658F" w:rsidRPr="00E64EF1" w:rsidRDefault="00D2658F" w:rsidP="00E64EF1">
            <w:pPr>
              <w:jc w:val="left"/>
              <w:rPr>
                <w:rFonts w:cs="Arial"/>
                <w:b/>
                <w:bCs/>
                <w:sz w:val="12"/>
                <w:szCs w:val="10"/>
              </w:rPr>
            </w:pPr>
            <w:r w:rsidRPr="00E64EF1">
              <w:rPr>
                <w:rFonts w:cs="Arial"/>
                <w:b/>
                <w:bCs/>
                <w:sz w:val="14"/>
                <w:szCs w:val="10"/>
              </w:rPr>
              <w:t>Samlede omkostninger</w:t>
            </w:r>
          </w:p>
        </w:tc>
        <w:tc>
          <w:tcPr>
            <w:tcW w:w="480"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-10,60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-42,94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-30,06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-14,86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-15,18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-13,93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-12,43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-12,43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-13,93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-12,43 </w:t>
            </w:r>
          </w:p>
        </w:tc>
        <w:tc>
          <w:tcPr>
            <w:tcW w:w="480" w:type="dxa"/>
            <w:tcBorders>
              <w:top w:val="nil"/>
              <w:left w:val="nil"/>
              <w:bottom w:val="single" w:sz="8" w:space="0" w:color="auto"/>
              <w:right w:val="nil"/>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-12,43 </w:t>
            </w:r>
          </w:p>
        </w:tc>
        <w:tc>
          <w:tcPr>
            <w:tcW w:w="622"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D2658F" w:rsidRPr="00E64EF1" w:rsidRDefault="00D2658F" w:rsidP="00E64EF1">
            <w:pPr>
              <w:jc w:val="right"/>
              <w:rPr>
                <w:rFonts w:cs="Arial"/>
                <w:b/>
                <w:bCs/>
                <w:sz w:val="12"/>
                <w:szCs w:val="10"/>
              </w:rPr>
            </w:pPr>
            <w:r w:rsidRPr="00E64EF1">
              <w:rPr>
                <w:rFonts w:cs="Arial"/>
                <w:b/>
                <w:bCs/>
                <w:color w:val="FF0000"/>
                <w:sz w:val="12"/>
                <w:szCs w:val="10"/>
              </w:rPr>
              <w:t xml:space="preserve">-191,22 </w:t>
            </w:r>
          </w:p>
        </w:tc>
      </w:tr>
    </w:tbl>
    <w:p w:rsidR="0007402E" w:rsidRPr="00AC5579" w:rsidRDefault="00F179FC" w:rsidP="00F179FC">
      <w:pPr>
        <w:pStyle w:val="Billedtekst"/>
      </w:pPr>
      <w:r w:rsidRPr="00AC5579">
        <w:t xml:space="preserve">Tabel </w:t>
      </w:r>
      <w:r w:rsidR="004B01EA">
        <w:fldChar w:fldCharType="begin"/>
      </w:r>
      <w:r w:rsidR="004B01EA">
        <w:instrText xml:space="preserve"> SEQ Tabel \* ARABIC </w:instrText>
      </w:r>
      <w:r w:rsidR="004B01EA">
        <w:fldChar w:fldCharType="separate"/>
      </w:r>
      <w:r w:rsidR="00B53FEA">
        <w:rPr>
          <w:noProof/>
        </w:rPr>
        <w:t>1</w:t>
      </w:r>
      <w:r w:rsidR="004B01EA">
        <w:rPr>
          <w:noProof/>
        </w:rPr>
        <w:fldChar w:fldCharType="end"/>
      </w:r>
      <w:r w:rsidRPr="00AC5579">
        <w:t xml:space="preserve">: </w:t>
      </w:r>
      <w:r w:rsidR="004C664A">
        <w:t>B</w:t>
      </w:r>
      <w:r w:rsidRPr="00AC5579">
        <w:t xml:space="preserve">udget </w:t>
      </w:r>
      <w:r w:rsidR="004C664A">
        <w:t xml:space="preserve">(mio. kr) </w:t>
      </w:r>
      <w:r w:rsidRPr="00AC5579">
        <w:t xml:space="preserve">for gennemførelse af </w:t>
      </w:r>
      <w:r w:rsidR="004C664A">
        <w:t xml:space="preserve">delaftale 1: </w:t>
      </w:r>
      <w:r w:rsidR="007E4401">
        <w:t>Effektiv ejendomsforvaltning</w:t>
      </w:r>
      <w:r w:rsidR="00B96BA3" w:rsidRPr="00AC5579">
        <w:t xml:space="preserve"> og genbrug af ejendomsdata.</w:t>
      </w:r>
      <w:r w:rsidR="004C664A">
        <w:t xml:space="preserve"> Budgettet er udgiftsbaseret før afskrivninger og risiko</w:t>
      </w:r>
      <w:r w:rsidR="008C46BF">
        <w:t xml:space="preserve">justering, </w:t>
      </w:r>
      <w:r w:rsidR="004C664A">
        <w:t xml:space="preserve"> jf. DIGST’s business case model.</w:t>
      </w:r>
    </w:p>
    <w:p w:rsidR="00086E1B" w:rsidRDefault="00B96BA3" w:rsidP="00086E1B">
      <w:r w:rsidRPr="00AC5579">
        <w:t>Detailbudgetter for aftaleparternes medvirken er gengivet i bilag 4.</w:t>
      </w:r>
    </w:p>
    <w:p w:rsidR="004D0CC2" w:rsidRDefault="004D0CC2" w:rsidP="00086E1B"/>
    <w:p w:rsidR="004D0CC2" w:rsidRDefault="004D0CC2" w:rsidP="004D0CC2">
      <w:pPr>
        <w:pStyle w:val="Overskrift2"/>
      </w:pPr>
      <w:r>
        <w:lastRenderedPageBreak/>
        <w:t>Gevinster</w:t>
      </w:r>
    </w:p>
    <w:p w:rsidR="00B53FEA" w:rsidRPr="00AC5579" w:rsidRDefault="00B53FEA" w:rsidP="00B53FEA">
      <w:r w:rsidRPr="00AC5579">
        <w:t>Nedenstående tabel sammenfatter programmet</w:t>
      </w:r>
      <w:r>
        <w:t>s gevinste</w:t>
      </w:r>
      <w:r w:rsidR="008C46BF">
        <w:t>r</w:t>
      </w:r>
      <w:r>
        <w:t>.</w:t>
      </w:r>
    </w:p>
    <w:p w:rsidR="00B53FEA" w:rsidRPr="00B53FEA" w:rsidRDefault="00B53FEA" w:rsidP="00B53FEA"/>
    <w:tbl>
      <w:tblPr>
        <w:tblW w:w="6819" w:type="dxa"/>
        <w:tblInd w:w="55" w:type="dxa"/>
        <w:tblCellMar>
          <w:left w:w="70" w:type="dxa"/>
          <w:right w:w="70" w:type="dxa"/>
        </w:tblCellMar>
        <w:tblLook w:val="04A0" w:firstRow="1" w:lastRow="0" w:firstColumn="1" w:lastColumn="0" w:noHBand="0" w:noVBand="1"/>
      </w:tblPr>
      <w:tblGrid>
        <w:gridCol w:w="4551"/>
        <w:gridCol w:w="2268"/>
      </w:tblGrid>
      <w:tr w:rsidR="00B53FEA" w:rsidRPr="003F2BD5" w:rsidTr="003F2BD5">
        <w:trPr>
          <w:trHeight w:val="276"/>
        </w:trPr>
        <w:tc>
          <w:tcPr>
            <w:tcW w:w="4551" w:type="dxa"/>
            <w:tcBorders>
              <w:top w:val="single" w:sz="8" w:space="0" w:color="auto"/>
              <w:left w:val="single" w:sz="8" w:space="0" w:color="auto"/>
              <w:bottom w:val="single" w:sz="8" w:space="0" w:color="auto"/>
              <w:right w:val="nil"/>
            </w:tcBorders>
            <w:shd w:val="clear" w:color="000000" w:fill="A6A6A6"/>
            <w:noWrap/>
            <w:vAlign w:val="bottom"/>
            <w:hideMark/>
          </w:tcPr>
          <w:p w:rsidR="00B53FEA" w:rsidRPr="00B53FEA" w:rsidRDefault="00B53FEA" w:rsidP="00B53FEA">
            <w:pPr>
              <w:jc w:val="left"/>
              <w:rPr>
                <w:rFonts w:cs="Arial"/>
                <w:b/>
                <w:bCs/>
                <w:color w:val="FFFFFF"/>
                <w:sz w:val="20"/>
                <w:szCs w:val="20"/>
              </w:rPr>
            </w:pPr>
            <w:r w:rsidRPr="00B53FEA">
              <w:rPr>
                <w:rFonts w:cs="Arial"/>
                <w:b/>
                <w:bCs/>
                <w:color w:val="FFFFFF"/>
                <w:sz w:val="20"/>
                <w:szCs w:val="20"/>
              </w:rPr>
              <w:t>GEVINST</w:t>
            </w:r>
          </w:p>
        </w:tc>
        <w:tc>
          <w:tcPr>
            <w:tcW w:w="2268"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B53FEA" w:rsidRPr="00B53FEA" w:rsidRDefault="00B53FEA" w:rsidP="00B53FEA">
            <w:pPr>
              <w:jc w:val="center"/>
              <w:rPr>
                <w:rFonts w:cs="Arial"/>
                <w:b/>
                <w:bCs/>
                <w:color w:val="FFFFFF"/>
                <w:sz w:val="20"/>
                <w:szCs w:val="20"/>
              </w:rPr>
            </w:pPr>
            <w:r w:rsidRPr="00B53FEA">
              <w:rPr>
                <w:rFonts w:cs="Arial"/>
                <w:b/>
                <w:bCs/>
                <w:color w:val="FFFFFF"/>
                <w:sz w:val="20"/>
                <w:szCs w:val="20"/>
              </w:rPr>
              <w:t xml:space="preserve">2013 -2023 </w:t>
            </w:r>
          </w:p>
        </w:tc>
      </w:tr>
      <w:tr w:rsidR="00B53FEA" w:rsidRPr="003F2BD5" w:rsidTr="003F2BD5">
        <w:trPr>
          <w:trHeight w:val="192"/>
        </w:trPr>
        <w:tc>
          <w:tcPr>
            <w:tcW w:w="4551" w:type="dxa"/>
            <w:tcBorders>
              <w:top w:val="nil"/>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left"/>
              <w:rPr>
                <w:rFonts w:cs="Arial"/>
                <w:b/>
                <w:bCs/>
                <w:sz w:val="20"/>
                <w:szCs w:val="20"/>
              </w:rPr>
            </w:pPr>
            <w:r w:rsidRPr="00B53FEA">
              <w:rPr>
                <w:rFonts w:cs="Arial"/>
                <w:b/>
                <w:bCs/>
                <w:sz w:val="20"/>
                <w:szCs w:val="20"/>
              </w:rPr>
              <w:t>Kommunerne</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right"/>
              <w:rPr>
                <w:rFonts w:cs="Arial"/>
                <w:sz w:val="20"/>
                <w:szCs w:val="20"/>
              </w:rPr>
            </w:pPr>
            <w:r w:rsidRPr="00B53FEA">
              <w:rPr>
                <w:rFonts w:cs="Arial"/>
                <w:sz w:val="20"/>
                <w:szCs w:val="20"/>
              </w:rPr>
              <w:t> </w:t>
            </w:r>
          </w:p>
        </w:tc>
      </w:tr>
      <w:tr w:rsidR="00B53FEA" w:rsidRPr="003F2BD5" w:rsidTr="003F2BD5">
        <w:trPr>
          <w:trHeight w:val="192"/>
        </w:trPr>
        <w:tc>
          <w:tcPr>
            <w:tcW w:w="4551" w:type="dxa"/>
            <w:tcBorders>
              <w:top w:val="nil"/>
              <w:left w:val="single" w:sz="8" w:space="0" w:color="auto"/>
              <w:bottom w:val="single" w:sz="4" w:space="0" w:color="auto"/>
              <w:right w:val="single" w:sz="8" w:space="0" w:color="auto"/>
            </w:tcBorders>
            <w:shd w:val="clear" w:color="auto" w:fill="auto"/>
            <w:vAlign w:val="center"/>
            <w:hideMark/>
          </w:tcPr>
          <w:p w:rsidR="00B53FEA" w:rsidRPr="00B53FEA" w:rsidRDefault="00B53FEA" w:rsidP="003F2BD5">
            <w:pPr>
              <w:ind w:firstLineChars="200" w:firstLine="400"/>
              <w:jc w:val="left"/>
              <w:rPr>
                <w:rFonts w:cs="Arial"/>
                <w:sz w:val="20"/>
                <w:szCs w:val="20"/>
              </w:rPr>
            </w:pPr>
            <w:r w:rsidRPr="00B53FEA">
              <w:rPr>
                <w:rFonts w:cs="Arial"/>
                <w:sz w:val="20"/>
                <w:szCs w:val="20"/>
              </w:rPr>
              <w:t>Sparet udvikling af erstatning</w:t>
            </w:r>
            <w:r w:rsidR="000F2DC3">
              <w:rPr>
                <w:rFonts w:cs="Arial"/>
                <w:sz w:val="20"/>
                <w:szCs w:val="20"/>
              </w:rPr>
              <w:t>sregister</w:t>
            </w:r>
            <w:r w:rsidRPr="00B53FEA">
              <w:rPr>
                <w:rFonts w:cs="Arial"/>
                <w:sz w:val="20"/>
                <w:szCs w:val="20"/>
              </w:rPr>
              <w:t xml:space="preserve"> for ESR</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right"/>
              <w:rPr>
                <w:rFonts w:cs="Arial"/>
                <w:sz w:val="20"/>
                <w:szCs w:val="20"/>
              </w:rPr>
            </w:pPr>
            <w:r w:rsidRPr="003F2BD5">
              <w:rPr>
                <w:rFonts w:cs="Arial"/>
                <w:sz w:val="20"/>
                <w:szCs w:val="20"/>
              </w:rPr>
              <w:t>45,00</w:t>
            </w:r>
            <w:r w:rsidRPr="00B53FEA">
              <w:rPr>
                <w:rFonts w:cs="Arial"/>
                <w:sz w:val="20"/>
                <w:szCs w:val="20"/>
              </w:rPr>
              <w:t xml:space="preserve"> </w:t>
            </w:r>
          </w:p>
        </w:tc>
      </w:tr>
      <w:tr w:rsidR="00B53FEA" w:rsidRPr="003F2BD5" w:rsidTr="003F2BD5">
        <w:trPr>
          <w:trHeight w:val="192"/>
        </w:trPr>
        <w:tc>
          <w:tcPr>
            <w:tcW w:w="4551" w:type="dxa"/>
            <w:tcBorders>
              <w:top w:val="nil"/>
              <w:left w:val="single" w:sz="8" w:space="0" w:color="auto"/>
              <w:bottom w:val="single" w:sz="4" w:space="0" w:color="auto"/>
              <w:right w:val="single" w:sz="8" w:space="0" w:color="auto"/>
            </w:tcBorders>
            <w:shd w:val="clear" w:color="auto" w:fill="auto"/>
            <w:vAlign w:val="center"/>
            <w:hideMark/>
          </w:tcPr>
          <w:p w:rsidR="00B53FEA" w:rsidRPr="00B53FEA" w:rsidRDefault="00B53FEA" w:rsidP="003F2BD5">
            <w:pPr>
              <w:ind w:firstLineChars="200" w:firstLine="400"/>
              <w:jc w:val="left"/>
              <w:rPr>
                <w:rFonts w:cs="Arial"/>
                <w:sz w:val="20"/>
                <w:szCs w:val="20"/>
              </w:rPr>
            </w:pPr>
            <w:r w:rsidRPr="00B53FEA">
              <w:rPr>
                <w:rFonts w:cs="Arial"/>
                <w:sz w:val="20"/>
                <w:szCs w:val="20"/>
              </w:rPr>
              <w:t>Sparet drift på erstatning</w:t>
            </w:r>
            <w:r w:rsidR="000F2DC3">
              <w:rPr>
                <w:rFonts w:cs="Arial"/>
                <w:sz w:val="20"/>
                <w:szCs w:val="20"/>
              </w:rPr>
              <w:t>sregister</w:t>
            </w:r>
            <w:r w:rsidRPr="00B53FEA">
              <w:rPr>
                <w:rFonts w:cs="Arial"/>
                <w:sz w:val="20"/>
                <w:szCs w:val="20"/>
              </w:rPr>
              <w:t xml:space="preserve"> for ESR</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right"/>
              <w:rPr>
                <w:rFonts w:cs="Arial"/>
                <w:sz w:val="20"/>
                <w:szCs w:val="20"/>
              </w:rPr>
            </w:pPr>
            <w:r w:rsidRPr="003F2BD5">
              <w:rPr>
                <w:rFonts w:cs="Arial"/>
                <w:sz w:val="20"/>
                <w:szCs w:val="20"/>
              </w:rPr>
              <w:t>146,25</w:t>
            </w:r>
            <w:r w:rsidRPr="00B53FEA">
              <w:rPr>
                <w:rFonts w:cs="Arial"/>
                <w:sz w:val="20"/>
                <w:szCs w:val="20"/>
              </w:rPr>
              <w:t xml:space="preserve"> </w:t>
            </w:r>
          </w:p>
        </w:tc>
      </w:tr>
      <w:tr w:rsidR="00B53FEA" w:rsidRPr="003F2BD5" w:rsidTr="003F2BD5">
        <w:trPr>
          <w:trHeight w:val="192"/>
        </w:trPr>
        <w:tc>
          <w:tcPr>
            <w:tcW w:w="4551" w:type="dxa"/>
            <w:tcBorders>
              <w:top w:val="nil"/>
              <w:left w:val="single" w:sz="8" w:space="0" w:color="auto"/>
              <w:bottom w:val="single" w:sz="4" w:space="0" w:color="auto"/>
              <w:right w:val="single" w:sz="8" w:space="0" w:color="auto"/>
            </w:tcBorders>
            <w:shd w:val="clear" w:color="auto" w:fill="auto"/>
            <w:vAlign w:val="center"/>
            <w:hideMark/>
          </w:tcPr>
          <w:p w:rsidR="00B53FEA" w:rsidRPr="00B53FEA" w:rsidRDefault="00B53FEA" w:rsidP="003F2BD5">
            <w:pPr>
              <w:ind w:firstLineChars="200" w:firstLine="400"/>
              <w:jc w:val="left"/>
              <w:rPr>
                <w:rFonts w:cs="Arial"/>
                <w:sz w:val="20"/>
                <w:szCs w:val="20"/>
              </w:rPr>
            </w:pPr>
            <w:r w:rsidRPr="00B53FEA">
              <w:rPr>
                <w:rFonts w:cs="Arial"/>
                <w:sz w:val="20"/>
                <w:szCs w:val="20"/>
              </w:rPr>
              <w:t>Sparet tid manuelle arbejdsgange i kommunerne</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right"/>
              <w:rPr>
                <w:rFonts w:cs="Arial"/>
                <w:sz w:val="20"/>
                <w:szCs w:val="20"/>
              </w:rPr>
            </w:pPr>
            <w:r w:rsidRPr="003F2BD5">
              <w:rPr>
                <w:rFonts w:cs="Arial"/>
                <w:sz w:val="20"/>
                <w:szCs w:val="20"/>
              </w:rPr>
              <w:t>100,76</w:t>
            </w:r>
            <w:r w:rsidRPr="00B53FEA">
              <w:rPr>
                <w:rFonts w:cs="Arial"/>
                <w:sz w:val="20"/>
                <w:szCs w:val="20"/>
              </w:rPr>
              <w:t xml:space="preserve"> </w:t>
            </w:r>
          </w:p>
        </w:tc>
      </w:tr>
      <w:tr w:rsidR="00B53FEA" w:rsidRPr="003F2BD5" w:rsidTr="003F2BD5">
        <w:trPr>
          <w:trHeight w:val="192"/>
        </w:trPr>
        <w:tc>
          <w:tcPr>
            <w:tcW w:w="4551" w:type="dxa"/>
            <w:tcBorders>
              <w:top w:val="nil"/>
              <w:left w:val="single" w:sz="8" w:space="0" w:color="auto"/>
              <w:bottom w:val="single" w:sz="4" w:space="0" w:color="auto"/>
              <w:right w:val="single" w:sz="8" w:space="0" w:color="auto"/>
            </w:tcBorders>
            <w:shd w:val="clear" w:color="auto" w:fill="auto"/>
            <w:vAlign w:val="center"/>
            <w:hideMark/>
          </w:tcPr>
          <w:p w:rsidR="00B53FEA" w:rsidRPr="00B53FEA" w:rsidRDefault="00B53FEA" w:rsidP="003F2BD5">
            <w:pPr>
              <w:ind w:firstLineChars="200" w:firstLine="400"/>
              <w:jc w:val="left"/>
              <w:rPr>
                <w:rFonts w:cs="Arial"/>
                <w:sz w:val="20"/>
                <w:szCs w:val="20"/>
              </w:rPr>
            </w:pPr>
            <w:r w:rsidRPr="00B53FEA">
              <w:rPr>
                <w:rFonts w:cs="Arial"/>
                <w:sz w:val="20"/>
                <w:szCs w:val="20"/>
              </w:rPr>
              <w:t>Geokodning</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right"/>
              <w:rPr>
                <w:rFonts w:cs="Arial"/>
                <w:sz w:val="20"/>
                <w:szCs w:val="20"/>
              </w:rPr>
            </w:pPr>
            <w:r w:rsidRPr="003F2BD5">
              <w:rPr>
                <w:rFonts w:cs="Arial"/>
                <w:sz w:val="20"/>
                <w:szCs w:val="20"/>
              </w:rPr>
              <w:t>14,62</w:t>
            </w:r>
            <w:r w:rsidRPr="00B53FEA">
              <w:rPr>
                <w:rFonts w:cs="Arial"/>
                <w:sz w:val="20"/>
                <w:szCs w:val="20"/>
              </w:rPr>
              <w:t xml:space="preserve"> </w:t>
            </w:r>
          </w:p>
        </w:tc>
      </w:tr>
      <w:tr w:rsidR="00B53FEA" w:rsidRPr="003F2BD5" w:rsidTr="003F2BD5">
        <w:trPr>
          <w:trHeight w:val="192"/>
        </w:trPr>
        <w:tc>
          <w:tcPr>
            <w:tcW w:w="4551" w:type="dxa"/>
            <w:tcBorders>
              <w:top w:val="nil"/>
              <w:left w:val="single" w:sz="8" w:space="0" w:color="auto"/>
              <w:bottom w:val="single" w:sz="4" w:space="0" w:color="auto"/>
              <w:right w:val="single" w:sz="8" w:space="0" w:color="auto"/>
            </w:tcBorders>
            <w:shd w:val="clear" w:color="auto" w:fill="auto"/>
            <w:vAlign w:val="center"/>
            <w:hideMark/>
          </w:tcPr>
          <w:p w:rsidR="00B53FEA" w:rsidRPr="00B53FEA" w:rsidRDefault="00B53FEA" w:rsidP="003F2BD5">
            <w:pPr>
              <w:ind w:firstLineChars="200" w:firstLine="400"/>
              <w:jc w:val="left"/>
              <w:rPr>
                <w:rFonts w:cs="Arial"/>
                <w:sz w:val="20"/>
                <w:szCs w:val="20"/>
              </w:rPr>
            </w:pPr>
            <w:r w:rsidRPr="00B53FEA">
              <w:rPr>
                <w:rFonts w:cs="Arial"/>
                <w:sz w:val="20"/>
                <w:szCs w:val="20"/>
              </w:rPr>
              <w:t xml:space="preserve">Besparelser på forbedret Infrastruktur </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right"/>
              <w:rPr>
                <w:rFonts w:cs="Arial"/>
                <w:sz w:val="20"/>
                <w:szCs w:val="20"/>
              </w:rPr>
            </w:pPr>
            <w:r w:rsidRPr="003F2BD5">
              <w:rPr>
                <w:rFonts w:cs="Arial"/>
                <w:sz w:val="20"/>
                <w:szCs w:val="20"/>
              </w:rPr>
              <w:t>60,30</w:t>
            </w:r>
            <w:r w:rsidRPr="00B53FEA">
              <w:rPr>
                <w:rFonts w:cs="Arial"/>
                <w:sz w:val="20"/>
                <w:szCs w:val="20"/>
              </w:rPr>
              <w:t xml:space="preserve"> </w:t>
            </w:r>
          </w:p>
        </w:tc>
      </w:tr>
      <w:tr w:rsidR="00B53FEA" w:rsidRPr="003F2BD5" w:rsidTr="003F2BD5">
        <w:trPr>
          <w:trHeight w:val="192"/>
        </w:trPr>
        <w:tc>
          <w:tcPr>
            <w:tcW w:w="4551" w:type="dxa"/>
            <w:tcBorders>
              <w:top w:val="nil"/>
              <w:left w:val="single" w:sz="8" w:space="0" w:color="auto"/>
              <w:bottom w:val="single" w:sz="8" w:space="0" w:color="auto"/>
              <w:right w:val="single" w:sz="8" w:space="0" w:color="auto"/>
            </w:tcBorders>
            <w:shd w:val="clear" w:color="000000" w:fill="F2F2F2"/>
            <w:vAlign w:val="center"/>
            <w:hideMark/>
          </w:tcPr>
          <w:p w:rsidR="00B53FEA" w:rsidRPr="00B53FEA" w:rsidRDefault="00B53FEA" w:rsidP="00B53FEA">
            <w:pPr>
              <w:jc w:val="right"/>
              <w:rPr>
                <w:rFonts w:cs="Arial"/>
                <w:b/>
                <w:bCs/>
                <w:sz w:val="20"/>
                <w:szCs w:val="20"/>
              </w:rPr>
            </w:pPr>
            <w:r w:rsidRPr="00B53FEA">
              <w:rPr>
                <w:rFonts w:cs="Arial"/>
                <w:b/>
                <w:bCs/>
                <w:sz w:val="20"/>
                <w:szCs w:val="20"/>
              </w:rPr>
              <w:t>Kommunerne i alt</w:t>
            </w:r>
          </w:p>
        </w:tc>
        <w:tc>
          <w:tcPr>
            <w:tcW w:w="2268" w:type="dxa"/>
            <w:tcBorders>
              <w:top w:val="nil"/>
              <w:left w:val="single" w:sz="8" w:space="0" w:color="auto"/>
              <w:bottom w:val="nil"/>
              <w:right w:val="single" w:sz="8" w:space="0" w:color="auto"/>
            </w:tcBorders>
            <w:shd w:val="clear" w:color="000000" w:fill="F2F2F2"/>
            <w:noWrap/>
            <w:vAlign w:val="bottom"/>
            <w:hideMark/>
          </w:tcPr>
          <w:p w:rsidR="00B53FEA" w:rsidRPr="00B53FEA" w:rsidRDefault="00B53FEA" w:rsidP="00B53FEA">
            <w:pPr>
              <w:jc w:val="right"/>
              <w:rPr>
                <w:rFonts w:cs="Arial"/>
                <w:sz w:val="20"/>
                <w:szCs w:val="20"/>
              </w:rPr>
            </w:pPr>
            <w:r w:rsidRPr="003F2BD5">
              <w:rPr>
                <w:rFonts w:cs="Arial"/>
                <w:sz w:val="20"/>
                <w:szCs w:val="20"/>
              </w:rPr>
              <w:t>366,93</w:t>
            </w:r>
            <w:r w:rsidRPr="00B53FEA">
              <w:rPr>
                <w:rFonts w:cs="Arial"/>
                <w:sz w:val="20"/>
                <w:szCs w:val="20"/>
              </w:rPr>
              <w:t xml:space="preserve"> </w:t>
            </w:r>
          </w:p>
        </w:tc>
      </w:tr>
      <w:tr w:rsidR="00B53FEA" w:rsidRPr="003F2BD5" w:rsidTr="003F2BD5">
        <w:trPr>
          <w:trHeight w:val="192"/>
        </w:trPr>
        <w:tc>
          <w:tcPr>
            <w:tcW w:w="4551" w:type="dxa"/>
            <w:tcBorders>
              <w:top w:val="nil"/>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left"/>
              <w:rPr>
                <w:rFonts w:cs="Arial"/>
                <w:b/>
                <w:bCs/>
                <w:sz w:val="20"/>
                <w:szCs w:val="20"/>
              </w:rPr>
            </w:pPr>
            <w:r w:rsidRPr="00B53FEA">
              <w:rPr>
                <w:rFonts w:cs="Arial"/>
                <w:b/>
                <w:bCs/>
                <w:sz w:val="20"/>
                <w:szCs w:val="20"/>
              </w:rPr>
              <w:t>GST</w:t>
            </w:r>
          </w:p>
        </w:tc>
        <w:tc>
          <w:tcPr>
            <w:tcW w:w="226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right"/>
              <w:rPr>
                <w:rFonts w:cs="Arial"/>
                <w:sz w:val="20"/>
                <w:szCs w:val="20"/>
              </w:rPr>
            </w:pPr>
            <w:r w:rsidRPr="00B53FEA">
              <w:rPr>
                <w:rFonts w:cs="Arial"/>
                <w:sz w:val="20"/>
                <w:szCs w:val="20"/>
              </w:rPr>
              <w:t> </w:t>
            </w:r>
          </w:p>
        </w:tc>
      </w:tr>
      <w:tr w:rsidR="00B53FEA" w:rsidRPr="003F2BD5" w:rsidTr="003F2BD5">
        <w:trPr>
          <w:trHeight w:val="192"/>
        </w:trPr>
        <w:tc>
          <w:tcPr>
            <w:tcW w:w="4551" w:type="dxa"/>
            <w:tcBorders>
              <w:top w:val="nil"/>
              <w:left w:val="single" w:sz="8" w:space="0" w:color="auto"/>
              <w:bottom w:val="nil"/>
              <w:right w:val="single" w:sz="8" w:space="0" w:color="auto"/>
            </w:tcBorders>
            <w:shd w:val="clear" w:color="auto" w:fill="auto"/>
            <w:vAlign w:val="center"/>
            <w:hideMark/>
          </w:tcPr>
          <w:p w:rsidR="00B53FEA" w:rsidRPr="00B53FEA" w:rsidRDefault="00B53FEA" w:rsidP="003F2BD5">
            <w:pPr>
              <w:ind w:firstLineChars="200" w:firstLine="400"/>
              <w:jc w:val="left"/>
              <w:rPr>
                <w:rFonts w:cs="Arial"/>
                <w:sz w:val="20"/>
                <w:szCs w:val="20"/>
              </w:rPr>
            </w:pPr>
            <w:r w:rsidRPr="00B53FEA">
              <w:rPr>
                <w:rFonts w:cs="Arial"/>
                <w:sz w:val="20"/>
                <w:szCs w:val="20"/>
              </w:rPr>
              <w:t>Ændret proces i den matrikulære sagsbehandling</w:t>
            </w:r>
          </w:p>
        </w:tc>
        <w:tc>
          <w:tcPr>
            <w:tcW w:w="2268" w:type="dxa"/>
            <w:tcBorders>
              <w:top w:val="nil"/>
              <w:left w:val="single" w:sz="8" w:space="0" w:color="auto"/>
              <w:bottom w:val="single" w:sz="4" w:space="0" w:color="auto"/>
              <w:right w:val="single" w:sz="8" w:space="0" w:color="auto"/>
            </w:tcBorders>
            <w:shd w:val="clear" w:color="auto" w:fill="auto"/>
            <w:noWrap/>
            <w:vAlign w:val="bottom"/>
            <w:hideMark/>
          </w:tcPr>
          <w:p w:rsidR="00B53FEA" w:rsidRPr="00B53FEA" w:rsidRDefault="00B53FEA" w:rsidP="00B53FEA">
            <w:pPr>
              <w:jc w:val="right"/>
              <w:rPr>
                <w:rFonts w:cs="Arial"/>
                <w:sz w:val="20"/>
                <w:szCs w:val="20"/>
              </w:rPr>
            </w:pPr>
            <w:r w:rsidRPr="00B53FEA">
              <w:rPr>
                <w:rFonts w:cs="Arial"/>
                <w:sz w:val="20"/>
                <w:szCs w:val="20"/>
              </w:rPr>
              <w:t xml:space="preserve">9,78 </w:t>
            </w:r>
          </w:p>
        </w:tc>
      </w:tr>
      <w:tr w:rsidR="00B53FEA" w:rsidRPr="003F2BD5" w:rsidTr="003F2BD5">
        <w:trPr>
          <w:trHeight w:val="192"/>
        </w:trPr>
        <w:tc>
          <w:tcPr>
            <w:tcW w:w="4551" w:type="dxa"/>
            <w:tcBorders>
              <w:top w:val="single" w:sz="4" w:space="0" w:color="auto"/>
              <w:left w:val="single" w:sz="8" w:space="0" w:color="auto"/>
              <w:bottom w:val="single" w:sz="8" w:space="0" w:color="auto"/>
              <w:right w:val="single" w:sz="8" w:space="0" w:color="auto"/>
            </w:tcBorders>
            <w:shd w:val="clear" w:color="000000" w:fill="F2F2F2"/>
            <w:vAlign w:val="center"/>
            <w:hideMark/>
          </w:tcPr>
          <w:p w:rsidR="00B53FEA" w:rsidRPr="00B53FEA" w:rsidRDefault="00B53FEA" w:rsidP="00B53FEA">
            <w:pPr>
              <w:jc w:val="right"/>
              <w:rPr>
                <w:rFonts w:cs="Arial"/>
                <w:b/>
                <w:bCs/>
                <w:sz w:val="20"/>
                <w:szCs w:val="20"/>
              </w:rPr>
            </w:pPr>
            <w:r w:rsidRPr="00B53FEA">
              <w:rPr>
                <w:rFonts w:cs="Arial"/>
                <w:b/>
                <w:bCs/>
                <w:sz w:val="20"/>
                <w:szCs w:val="20"/>
              </w:rPr>
              <w:t>GST i alt</w:t>
            </w:r>
          </w:p>
        </w:tc>
        <w:tc>
          <w:tcPr>
            <w:tcW w:w="2268" w:type="dxa"/>
            <w:tcBorders>
              <w:top w:val="nil"/>
              <w:left w:val="single" w:sz="8" w:space="0" w:color="auto"/>
              <w:bottom w:val="single" w:sz="8" w:space="0" w:color="auto"/>
              <w:right w:val="single" w:sz="8" w:space="0" w:color="auto"/>
            </w:tcBorders>
            <w:shd w:val="clear" w:color="000000" w:fill="F2F2F2"/>
            <w:noWrap/>
            <w:vAlign w:val="bottom"/>
            <w:hideMark/>
          </w:tcPr>
          <w:p w:rsidR="00B53FEA" w:rsidRPr="00B53FEA" w:rsidRDefault="00B53FEA" w:rsidP="00B53FEA">
            <w:pPr>
              <w:jc w:val="right"/>
              <w:rPr>
                <w:rFonts w:cs="Arial"/>
                <w:b/>
                <w:bCs/>
                <w:sz w:val="20"/>
                <w:szCs w:val="20"/>
              </w:rPr>
            </w:pPr>
            <w:r w:rsidRPr="00B53FEA">
              <w:rPr>
                <w:rFonts w:cs="Arial"/>
                <w:b/>
                <w:bCs/>
                <w:sz w:val="20"/>
                <w:szCs w:val="20"/>
              </w:rPr>
              <w:t xml:space="preserve">9,78 </w:t>
            </w:r>
          </w:p>
        </w:tc>
      </w:tr>
      <w:tr w:rsidR="00B53FEA" w:rsidRPr="003F2BD5" w:rsidTr="003F2BD5">
        <w:trPr>
          <w:trHeight w:val="192"/>
        </w:trPr>
        <w:tc>
          <w:tcPr>
            <w:tcW w:w="4551" w:type="dxa"/>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rsidR="00B53FEA" w:rsidRPr="00B53FEA" w:rsidRDefault="00B53FEA" w:rsidP="00B53FEA">
            <w:pPr>
              <w:jc w:val="left"/>
              <w:rPr>
                <w:rFonts w:cs="Arial"/>
                <w:b/>
                <w:bCs/>
                <w:sz w:val="20"/>
                <w:szCs w:val="20"/>
              </w:rPr>
            </w:pPr>
            <w:r w:rsidRPr="00B53FEA">
              <w:rPr>
                <w:rFonts w:cs="Arial"/>
                <w:b/>
                <w:bCs/>
                <w:sz w:val="20"/>
                <w:szCs w:val="20"/>
              </w:rPr>
              <w:t>Gevinster i alt</w:t>
            </w:r>
          </w:p>
        </w:tc>
        <w:tc>
          <w:tcPr>
            <w:tcW w:w="2268" w:type="dxa"/>
            <w:tcBorders>
              <w:top w:val="nil"/>
              <w:left w:val="single" w:sz="8" w:space="0" w:color="auto"/>
              <w:bottom w:val="single" w:sz="8" w:space="0" w:color="auto"/>
              <w:right w:val="single" w:sz="8" w:space="0" w:color="auto"/>
            </w:tcBorders>
            <w:shd w:val="clear" w:color="auto" w:fill="C6D9F1" w:themeFill="text2" w:themeFillTint="33"/>
            <w:noWrap/>
            <w:vAlign w:val="bottom"/>
            <w:hideMark/>
          </w:tcPr>
          <w:p w:rsidR="00B53FEA" w:rsidRPr="00B53FEA" w:rsidRDefault="00B53FEA" w:rsidP="00B53FEA">
            <w:pPr>
              <w:keepNext/>
              <w:jc w:val="right"/>
              <w:rPr>
                <w:rFonts w:cs="Arial"/>
                <w:b/>
                <w:bCs/>
                <w:sz w:val="20"/>
                <w:szCs w:val="20"/>
              </w:rPr>
            </w:pPr>
            <w:r w:rsidRPr="003F2BD5">
              <w:rPr>
                <w:rFonts w:cs="Arial"/>
                <w:b/>
                <w:bCs/>
                <w:sz w:val="20"/>
                <w:szCs w:val="20"/>
              </w:rPr>
              <w:t>376,71</w:t>
            </w:r>
            <w:r w:rsidRPr="00B53FEA">
              <w:rPr>
                <w:rFonts w:cs="Arial"/>
                <w:b/>
                <w:bCs/>
                <w:sz w:val="20"/>
                <w:szCs w:val="20"/>
              </w:rPr>
              <w:t xml:space="preserve"> </w:t>
            </w:r>
          </w:p>
        </w:tc>
      </w:tr>
    </w:tbl>
    <w:p w:rsidR="004D0CC2" w:rsidRPr="00B53FEA" w:rsidRDefault="00B53FEA" w:rsidP="00B53FEA">
      <w:pPr>
        <w:pStyle w:val="Billedtekst"/>
      </w:pPr>
      <w:r>
        <w:t xml:space="preserve">Tabel </w:t>
      </w:r>
      <w:r w:rsidR="004B01EA">
        <w:fldChar w:fldCharType="begin"/>
      </w:r>
      <w:r w:rsidR="004B01EA">
        <w:instrText xml:space="preserve"> SEQ Tabel \* ARABIC </w:instrText>
      </w:r>
      <w:r w:rsidR="004B01EA">
        <w:fldChar w:fldCharType="separate"/>
      </w:r>
      <w:r>
        <w:rPr>
          <w:noProof/>
        </w:rPr>
        <w:t>2</w:t>
      </w:r>
      <w:r w:rsidR="004B01EA">
        <w:rPr>
          <w:noProof/>
        </w:rPr>
        <w:fldChar w:fldCharType="end"/>
      </w:r>
      <w:r>
        <w:t xml:space="preserve">: </w:t>
      </w:r>
      <w:r w:rsidR="008C46BF">
        <w:t>Samlede g</w:t>
      </w:r>
      <w:r>
        <w:t xml:space="preserve">evinster (mio. kr) </w:t>
      </w:r>
      <w:r w:rsidR="008C46BF">
        <w:t xml:space="preserve">for perioden 2013 – 2013 </w:t>
      </w:r>
      <w:r>
        <w:t>ved ge</w:t>
      </w:r>
      <w:r w:rsidRPr="00AC5579">
        <w:t xml:space="preserve">nnemførelse af </w:t>
      </w:r>
      <w:r>
        <w:t>delaftale 1: Effektiv ejendomsforvaltning</w:t>
      </w:r>
      <w:r w:rsidRPr="00AC5579">
        <w:t xml:space="preserve"> og genbrug af ejendomsdata</w:t>
      </w:r>
      <w:r w:rsidR="008C46BF">
        <w:t>,</w:t>
      </w:r>
      <w:r>
        <w:t xml:space="preserve"> </w:t>
      </w:r>
      <w:r w:rsidRPr="00AC5579">
        <w:t>.</w:t>
      </w:r>
      <w:r>
        <w:t xml:space="preserve"> Gevinsterne er risik</w:t>
      </w:r>
      <w:r w:rsidR="008C46BF">
        <w:t>ojusterede</w:t>
      </w:r>
      <w:r>
        <w:t>, jf. DIGST’s business case model.</w:t>
      </w:r>
    </w:p>
    <w:p w:rsidR="004D0CC2" w:rsidRPr="00B53FEA" w:rsidRDefault="004D0CC2" w:rsidP="004D0CC2"/>
    <w:p w:rsidR="00317325" w:rsidRDefault="00317325" w:rsidP="0075338C">
      <w:pPr>
        <w:pStyle w:val="Overskrift1"/>
      </w:pPr>
      <w:bookmarkStart w:id="79" w:name="_Ref340584482"/>
      <w:bookmarkStart w:id="80" w:name="_Ref340584951"/>
      <w:bookmarkStart w:id="81" w:name="_Ref340742798"/>
      <w:bookmarkStart w:id="82" w:name="_Toc341024652"/>
      <w:r w:rsidRPr="00AC5579">
        <w:lastRenderedPageBreak/>
        <w:t>Referencer</w:t>
      </w:r>
      <w:bookmarkEnd w:id="79"/>
      <w:bookmarkEnd w:id="80"/>
      <w:bookmarkEnd w:id="81"/>
      <w:bookmarkEnd w:id="82"/>
    </w:p>
    <w:p w:rsidR="004C664A" w:rsidRDefault="004C664A" w:rsidP="00B4125E">
      <w:r>
        <w:t>Følgende dokumenter indgår i grundlaget for delaftale 1:</w:t>
      </w:r>
    </w:p>
    <w:p w:rsidR="004C664A" w:rsidRPr="00773A30" w:rsidRDefault="004C664A" w:rsidP="00B4125E"/>
    <w:p w:rsidR="00137A55" w:rsidRDefault="00AD661F" w:rsidP="008971BA">
      <w:pPr>
        <w:numPr>
          <w:ilvl w:val="0"/>
          <w:numId w:val="31"/>
        </w:numPr>
        <w:spacing w:after="80"/>
      </w:pPr>
      <w:r>
        <w:t xml:space="preserve">10.2a </w:t>
      </w:r>
      <w:r w:rsidR="006B3382" w:rsidRPr="00AC5579">
        <w:t xml:space="preserve">Samordnet genbrug af ejendoms- og bygningsdata - Kvalificering af business </w:t>
      </w:r>
      <w:r>
        <w:t xml:space="preserve">case; </w:t>
      </w:r>
      <w:r w:rsidR="006B3382" w:rsidRPr="00AC5579">
        <w:t>Ministeriet for By, Bolig</w:t>
      </w:r>
      <w:r>
        <w:t xml:space="preserve"> og Landdistrikter. (8</w:t>
      </w:r>
      <w:r w:rsidRPr="00AC5579">
        <w:t xml:space="preserve"> delrapporter);</w:t>
      </w:r>
    </w:p>
    <w:p w:rsidR="003F575C" w:rsidRDefault="003F575C" w:rsidP="003F575C">
      <w:pPr>
        <w:numPr>
          <w:ilvl w:val="1"/>
          <w:numId w:val="31"/>
        </w:numPr>
        <w:spacing w:after="80"/>
        <w:jc w:val="left"/>
      </w:pPr>
      <w:r>
        <w:t>Fortegnelse over arbejdsprocesser; juli 2011.</w:t>
      </w:r>
    </w:p>
    <w:p w:rsidR="00AD661F" w:rsidRDefault="00AD661F" w:rsidP="003F575C">
      <w:pPr>
        <w:numPr>
          <w:ilvl w:val="1"/>
          <w:numId w:val="31"/>
        </w:numPr>
        <w:spacing w:after="80"/>
        <w:jc w:val="left"/>
      </w:pPr>
      <w:r>
        <w:t>Arbejdspakke 1: Processer ift. ejendomsdannelsen;</w:t>
      </w:r>
      <w:r w:rsidRPr="00AD661F">
        <w:t xml:space="preserve"> </w:t>
      </w:r>
      <w:r>
        <w:t>januar 2012.</w:t>
      </w:r>
    </w:p>
    <w:p w:rsidR="00AD661F" w:rsidRDefault="00AD661F" w:rsidP="003F575C">
      <w:pPr>
        <w:numPr>
          <w:ilvl w:val="1"/>
          <w:numId w:val="31"/>
        </w:numPr>
        <w:spacing w:after="80"/>
        <w:jc w:val="left"/>
      </w:pPr>
      <w:r>
        <w:t>Arbejdspakke 2: Processer ift. ejerskifte; januar 2012.</w:t>
      </w:r>
    </w:p>
    <w:p w:rsidR="00AD661F" w:rsidRDefault="00AD661F" w:rsidP="003F575C">
      <w:pPr>
        <w:numPr>
          <w:ilvl w:val="1"/>
          <w:numId w:val="31"/>
        </w:numPr>
        <w:spacing w:after="80"/>
        <w:jc w:val="left"/>
      </w:pPr>
      <w:r>
        <w:t>Arbejdspakke 3: Processer ift.  BBR-registrering under byggesagsbehandlingen; januar 2012.</w:t>
      </w:r>
    </w:p>
    <w:p w:rsidR="00AD661F" w:rsidRDefault="00AD661F" w:rsidP="003F575C">
      <w:pPr>
        <w:numPr>
          <w:ilvl w:val="1"/>
          <w:numId w:val="31"/>
        </w:numPr>
        <w:spacing w:after="80"/>
        <w:jc w:val="left"/>
      </w:pPr>
      <w:r>
        <w:t>Arbejdspakke 4: Processer ift.  kommunal ejendomsskat og bidrag; januar 2012.</w:t>
      </w:r>
    </w:p>
    <w:p w:rsidR="00AD661F" w:rsidRDefault="00AD661F" w:rsidP="003F575C">
      <w:pPr>
        <w:numPr>
          <w:ilvl w:val="1"/>
          <w:numId w:val="31"/>
        </w:numPr>
        <w:spacing w:after="80"/>
        <w:jc w:val="left"/>
      </w:pPr>
      <w:r>
        <w:t>Arbejdspakke 5: Processer ift. ejedomsvurdering og ejendomsværdiskat; januar 2012.</w:t>
      </w:r>
    </w:p>
    <w:p w:rsidR="00AD661F" w:rsidRDefault="00AD661F" w:rsidP="003F575C">
      <w:pPr>
        <w:numPr>
          <w:ilvl w:val="1"/>
          <w:numId w:val="31"/>
        </w:numPr>
        <w:spacing w:after="80"/>
        <w:jc w:val="left"/>
      </w:pPr>
      <w:r>
        <w:t>Arbejdspakke 7:</w:t>
      </w:r>
      <w:r w:rsidR="003F575C" w:rsidRPr="003F575C">
        <w:t xml:space="preserve"> </w:t>
      </w:r>
      <w:r w:rsidR="003F575C">
        <w:t>Infrastruktur; januar 2012.</w:t>
      </w:r>
    </w:p>
    <w:p w:rsidR="009B5462" w:rsidRDefault="009B5462" w:rsidP="003F575C">
      <w:pPr>
        <w:numPr>
          <w:ilvl w:val="1"/>
          <w:numId w:val="31"/>
        </w:numPr>
        <w:spacing w:after="80"/>
        <w:jc w:val="left"/>
      </w:pPr>
      <w:bookmarkStart w:id="83" w:name="Delaftale1"/>
      <w:r w:rsidRPr="00AC5579">
        <w:t xml:space="preserve">Udredning om Ejerfortegnelse; marts </w:t>
      </w:r>
      <w:r w:rsidR="003F575C">
        <w:t>2012.</w:t>
      </w:r>
    </w:p>
    <w:p w:rsidR="003F575C" w:rsidRPr="003F575C" w:rsidRDefault="003F575C" w:rsidP="003F575C">
      <w:pPr>
        <w:numPr>
          <w:ilvl w:val="1"/>
          <w:numId w:val="31"/>
        </w:numPr>
        <w:spacing w:after="80"/>
        <w:jc w:val="left"/>
        <w:rPr>
          <w:lang w:val="en-GB"/>
        </w:rPr>
      </w:pPr>
      <w:r w:rsidRPr="003F575C">
        <w:rPr>
          <w:lang w:val="en-GB"/>
        </w:rPr>
        <w:t>Skitse til business case; marts 2012.</w:t>
      </w:r>
    </w:p>
    <w:p w:rsidR="009B5462" w:rsidRDefault="009B5462" w:rsidP="009B5462">
      <w:pPr>
        <w:numPr>
          <w:ilvl w:val="0"/>
          <w:numId w:val="31"/>
        </w:numPr>
        <w:spacing w:after="80"/>
      </w:pPr>
      <w:r>
        <w:t>Effektiv ejendomsforvaltning</w:t>
      </w:r>
      <w:r w:rsidRPr="00AC5579">
        <w:t xml:space="preserve"> og genbrug af ejendomsdata – Delaftale 1 af programmet om grunddata for vækst og effektivisering. Regeringen, maj 2012.</w:t>
      </w:r>
      <w:bookmarkEnd w:id="83"/>
    </w:p>
    <w:p w:rsidR="006B3382" w:rsidRPr="00AC5579" w:rsidRDefault="006B3382" w:rsidP="008971BA">
      <w:pPr>
        <w:numPr>
          <w:ilvl w:val="0"/>
          <w:numId w:val="31"/>
        </w:numPr>
        <w:spacing w:after="80"/>
      </w:pPr>
      <w:r w:rsidRPr="00AC5579">
        <w:t>Businesscase for samordnet genbrug af ejendoms- og bygningsdata; Digitaliseringsstyrelsen; maj 2012.</w:t>
      </w:r>
    </w:p>
    <w:p w:rsidR="006B3382" w:rsidRPr="00AC5579" w:rsidRDefault="006B3382" w:rsidP="008971BA">
      <w:pPr>
        <w:numPr>
          <w:ilvl w:val="0"/>
          <w:numId w:val="31"/>
        </w:numPr>
        <w:spacing w:after="80"/>
      </w:pPr>
      <w:bookmarkStart w:id="84" w:name="_Toc280340968"/>
      <w:bookmarkStart w:id="85" w:name="_Toc280341014"/>
      <w:r w:rsidRPr="00AC5579">
        <w:t>Genbrug af bygningsarealdata</w:t>
      </w:r>
      <w:bookmarkEnd w:id="84"/>
      <w:bookmarkEnd w:id="85"/>
      <w:r w:rsidRPr="00AC5579">
        <w:t xml:space="preserve"> </w:t>
      </w:r>
      <w:bookmarkStart w:id="86" w:name="_Toc280340969"/>
      <w:bookmarkStart w:id="87" w:name="_Toc280341015"/>
      <w:r w:rsidRPr="00AC5579">
        <w:t>– på vej mod digital håndtering af bygninger fra vugge til grav</w:t>
      </w:r>
      <w:bookmarkEnd w:id="86"/>
      <w:bookmarkEnd w:id="87"/>
      <w:r w:rsidRPr="00AC5579">
        <w:t xml:space="preserve"> (projektforslag); Domænebestyrelsen for Bygninger, Boliger og Forsyning; december 2010.</w:t>
      </w:r>
    </w:p>
    <w:p w:rsidR="006B3382" w:rsidRPr="00AC5579" w:rsidRDefault="006B3382" w:rsidP="008971BA">
      <w:pPr>
        <w:numPr>
          <w:ilvl w:val="0"/>
          <w:numId w:val="31"/>
        </w:numPr>
        <w:spacing w:after="80"/>
      </w:pPr>
      <w:r w:rsidRPr="00AC5579">
        <w:t>Samfundsgevinster ved geokodning af bygninger i Bygnings- og Boligregisteret, BBR; Erhvervs- og Byggestyrelsen; februar 2011.</w:t>
      </w:r>
    </w:p>
    <w:p w:rsidR="004C664A" w:rsidRPr="00AC5579" w:rsidRDefault="00B911E8" w:rsidP="0075338C">
      <w:pPr>
        <w:pStyle w:val="Opstilling-punkttegnmafstand"/>
        <w:numPr>
          <w:ilvl w:val="0"/>
          <w:numId w:val="31"/>
        </w:numPr>
        <w:spacing w:line="240" w:lineRule="auto"/>
        <w:contextualSpacing/>
      </w:pPr>
      <w:r>
        <w:t xml:space="preserve">Enkel og effektiv ejendomsregistrering – informationsfolder (12 s.), </w:t>
      </w:r>
      <w:r w:rsidR="003F575C" w:rsidRPr="00AC5579">
        <w:t>Ministeriet for By, Bolig</w:t>
      </w:r>
      <w:r w:rsidR="003F575C">
        <w:t xml:space="preserve"> og Landdistrikter;</w:t>
      </w:r>
      <w:r>
        <w:t xml:space="preserve"> marts 2012 </w:t>
      </w:r>
    </w:p>
    <w:p w:rsidR="002261C8" w:rsidRPr="00AC5579" w:rsidRDefault="00F8637F" w:rsidP="00CE2D9E">
      <w:pPr>
        <w:pStyle w:val="Overskrift1"/>
      </w:pPr>
      <w:bookmarkStart w:id="88" w:name="_Ref331690689"/>
      <w:bookmarkStart w:id="89" w:name="_Ref331690706"/>
      <w:bookmarkStart w:id="90" w:name="_Ref331690741"/>
      <w:bookmarkStart w:id="91" w:name="_Toc341024653"/>
      <w:bookmarkEnd w:id="76"/>
      <w:bookmarkEnd w:id="77"/>
      <w:r w:rsidRPr="00AC5579">
        <w:lastRenderedPageBreak/>
        <w:t xml:space="preserve">BILAG 1: </w:t>
      </w:r>
      <w:r w:rsidR="00C33376" w:rsidRPr="00AC5579">
        <w:br/>
      </w:r>
      <w:r w:rsidR="00162851" w:rsidRPr="00AC5579">
        <w:t>Aktørernes ansvar</w:t>
      </w:r>
      <w:bookmarkEnd w:id="88"/>
      <w:bookmarkEnd w:id="89"/>
      <w:bookmarkEnd w:id="90"/>
      <w:bookmarkEnd w:id="91"/>
      <w:r w:rsidR="00CE2D9E">
        <w:t xml:space="preserve"> </w:t>
      </w:r>
      <w:r w:rsidR="00CE2D9E" w:rsidRPr="00CE2D9E">
        <w:t>under og efter implementeringen af programmet.</w:t>
      </w:r>
    </w:p>
    <w:p w:rsidR="007F546C" w:rsidRPr="00AC5579" w:rsidRDefault="007F546C" w:rsidP="007F546C">
      <w:r w:rsidRPr="00AC5579">
        <w:t>Der er i efteråret 2011 gennemført analyser af arbejdsprocesser og infrastruktur, der beskriver den fremtidige situation med forbedrede grunddata, ny infrastruktur, samt forenklede og ændrede arbejdsprocesser hos kommuner og stat. Dette er grundlaget  i det følgende for hver berørt aktør at beskrive:</w:t>
      </w:r>
    </w:p>
    <w:p w:rsidR="007F546C" w:rsidRPr="00AC5579" w:rsidRDefault="007F546C" w:rsidP="008971BA">
      <w:pPr>
        <w:numPr>
          <w:ilvl w:val="0"/>
          <w:numId w:val="8"/>
        </w:numPr>
        <w:jc w:val="left"/>
      </w:pPr>
      <w:r w:rsidRPr="00AC5579">
        <w:t xml:space="preserve">Overordnet beskrivelse af aktørens opgaveportefølje med relation til </w:t>
      </w:r>
      <w:r w:rsidR="00267286" w:rsidRPr="00AC5579">
        <w:t>programmet</w:t>
      </w:r>
      <w:r w:rsidRPr="00AC5579">
        <w:t xml:space="preserve"> </w:t>
      </w:r>
    </w:p>
    <w:p w:rsidR="007F546C" w:rsidRPr="00AC5579" w:rsidRDefault="007F546C" w:rsidP="008971BA">
      <w:pPr>
        <w:numPr>
          <w:ilvl w:val="0"/>
          <w:numId w:val="8"/>
        </w:numPr>
        <w:jc w:val="left"/>
      </w:pPr>
      <w:r w:rsidRPr="00AC5579">
        <w:t>Resume af aktørens ansvar for infrastrukturforbedringer</w:t>
      </w:r>
    </w:p>
    <w:p w:rsidR="007F546C" w:rsidRPr="00AC5579" w:rsidRDefault="007F546C" w:rsidP="008971BA">
      <w:pPr>
        <w:numPr>
          <w:ilvl w:val="0"/>
          <w:numId w:val="8"/>
        </w:numPr>
        <w:jc w:val="left"/>
      </w:pPr>
      <w:r w:rsidRPr="00AC5579">
        <w:t>Resume af aktørens ansvar for grunddataforbedringer</w:t>
      </w:r>
    </w:p>
    <w:p w:rsidR="007F546C" w:rsidRPr="00AC5579" w:rsidRDefault="007F546C" w:rsidP="008971BA">
      <w:pPr>
        <w:numPr>
          <w:ilvl w:val="0"/>
          <w:numId w:val="8"/>
        </w:numPr>
        <w:jc w:val="left"/>
      </w:pPr>
      <w:r w:rsidRPr="00AC5579">
        <w:t>Beskrivelse procesændringer (nye/ændrede/bortfaldne processer)</w:t>
      </w:r>
    </w:p>
    <w:p w:rsidR="007F546C" w:rsidRPr="00AC5579" w:rsidRDefault="007F546C" w:rsidP="007F546C"/>
    <w:p w:rsidR="000F26DE" w:rsidRPr="00AC5579" w:rsidRDefault="000F26DE" w:rsidP="007F546C">
      <w:r w:rsidRPr="00AC5579">
        <w:t>I bilag 2 redegøres for aktøre</w:t>
      </w:r>
      <w:r w:rsidR="00D51F3F">
        <w:t>r</w:t>
      </w:r>
      <w:r w:rsidRPr="00AC5579">
        <w:t>nes særlige opgaveansvar i implementeringsfasen</w:t>
      </w:r>
    </w:p>
    <w:p w:rsidR="007F546C" w:rsidRPr="00AC5579" w:rsidRDefault="007F546C" w:rsidP="007F546C">
      <w:pPr>
        <w:pStyle w:val="Overskrift2"/>
        <w:rPr>
          <w:lang w:val="da-DK"/>
        </w:rPr>
      </w:pPr>
      <w:bookmarkStart w:id="92" w:name="_Toc341024654"/>
      <w:bookmarkStart w:id="93" w:name="_Ref347320539"/>
      <w:r w:rsidRPr="00AC5579">
        <w:rPr>
          <w:lang w:val="da-DK"/>
        </w:rPr>
        <w:t>Ministeriet for By, Bolig og Landdistrikter</w:t>
      </w:r>
      <w:bookmarkEnd w:id="92"/>
      <w:bookmarkEnd w:id="93"/>
    </w:p>
    <w:p w:rsidR="007F546C" w:rsidRPr="00AC5579" w:rsidRDefault="007F546C" w:rsidP="007F546C">
      <w:r w:rsidRPr="00AC5579">
        <w:t>Resultatet af analysen af arbejdsprocesser og infrastruktur kan for Ministeriet for By, Bolig og Landdistrikter (MBBL) sammenfattes i følgende.</w:t>
      </w:r>
    </w:p>
    <w:p w:rsidR="007F546C" w:rsidRPr="00AC5579" w:rsidRDefault="007F546C" w:rsidP="007F546C"/>
    <w:p w:rsidR="007F546C" w:rsidRPr="00AC5579" w:rsidRDefault="007F546C" w:rsidP="007F546C"/>
    <w:p w:rsidR="007F546C" w:rsidRPr="00AC5579" w:rsidRDefault="007F546C" w:rsidP="007F546C">
      <w:pPr>
        <w:rPr>
          <w:b/>
        </w:rPr>
      </w:pPr>
      <w:r w:rsidRPr="00AC5579">
        <w:rPr>
          <w:b/>
        </w:rPr>
        <w:t>Resume af aktørens ansvar for infrastrukturforbedringer</w:t>
      </w:r>
    </w:p>
    <w:p w:rsidR="007F546C" w:rsidRPr="00AC5579" w:rsidRDefault="007F546C" w:rsidP="008971BA">
      <w:pPr>
        <w:numPr>
          <w:ilvl w:val="0"/>
          <w:numId w:val="18"/>
        </w:numPr>
        <w:jc w:val="left"/>
      </w:pPr>
      <w:r w:rsidRPr="00AC5579">
        <w:t>BBR tilrettes til det fremtidige fælles ejendomsbegreb (BFE) og til at hente oplysninger om ejendomme i Matriklen og ikke som i dag i ESR.</w:t>
      </w:r>
    </w:p>
    <w:p w:rsidR="007F546C" w:rsidRPr="00AC5579" w:rsidRDefault="007F546C" w:rsidP="008971BA">
      <w:pPr>
        <w:numPr>
          <w:ilvl w:val="0"/>
          <w:numId w:val="18"/>
        </w:numPr>
        <w:jc w:val="left"/>
      </w:pPr>
      <w:r w:rsidRPr="00AC5579">
        <w:t>Tilknytte entydige ejendomsnøgler (BFE-nummer og e-REF) til BBRs bygninger og visse bolig-/erhvervsenheder.</w:t>
      </w:r>
    </w:p>
    <w:p w:rsidR="007F546C" w:rsidRPr="00AC5579" w:rsidRDefault="007F546C" w:rsidP="008971BA">
      <w:pPr>
        <w:numPr>
          <w:ilvl w:val="0"/>
          <w:numId w:val="18"/>
        </w:numPr>
        <w:jc w:val="left"/>
      </w:pPr>
      <w:r w:rsidRPr="00AC5579">
        <w:t xml:space="preserve">I samarbejde med kommuner, </w:t>
      </w:r>
      <w:r w:rsidR="00DE2785">
        <w:t>GST</w:t>
      </w:r>
      <w:r w:rsidRPr="00AC5579">
        <w:t xml:space="preserve"> og Tinglysningsretten at foretage samkøring og matching af BBRs registreringer af jordstykker, bygninger på fremmed grund og ejerlejligheder med de tilsvarende registreringer i Matriklen, Tingbogen og ESR. </w:t>
      </w:r>
    </w:p>
    <w:p w:rsidR="007F546C" w:rsidRPr="00AC5579" w:rsidRDefault="007F546C" w:rsidP="008971BA">
      <w:pPr>
        <w:numPr>
          <w:ilvl w:val="0"/>
          <w:numId w:val="18"/>
        </w:numPr>
        <w:jc w:val="left"/>
      </w:pPr>
      <w:r w:rsidRPr="00AC5579">
        <w:t xml:space="preserve">Udvikle og implementere BBR-”fejlmeldeklient” for bygninger og boliger, der giver mulighed for digital fejlmelding evt. med forslag til udbedring af fejlen, fremsendelse af fejlen til rette myndighed/kommune og modtagelse af fejlen og integration til editeringsmulighederne i BBR-klient. </w:t>
      </w:r>
    </w:p>
    <w:p w:rsidR="007F546C" w:rsidRPr="00AC5579" w:rsidRDefault="007F546C" w:rsidP="008971BA">
      <w:pPr>
        <w:numPr>
          <w:ilvl w:val="0"/>
          <w:numId w:val="12"/>
        </w:numPr>
        <w:jc w:val="left"/>
      </w:pPr>
      <w:r w:rsidRPr="00AC5579">
        <w:t>Autoritative grunddata fra BBR skal udstilles via fællesoffentlig datafordeler, så andre aktører kan abonnere på autoritative data.</w:t>
      </w:r>
    </w:p>
    <w:p w:rsidR="007F546C" w:rsidRPr="00AC5579" w:rsidRDefault="007F546C" w:rsidP="008971BA">
      <w:pPr>
        <w:numPr>
          <w:ilvl w:val="0"/>
          <w:numId w:val="12"/>
        </w:numPr>
        <w:jc w:val="left"/>
      </w:pPr>
      <w:r w:rsidRPr="00AC5579">
        <w:t>Samordner indsatsen vedrørende etablering af en fælleskommunal standard og it-komponent for geokodning af bygninger, herunder fastlægger en standard for dette.</w:t>
      </w:r>
    </w:p>
    <w:p w:rsidR="007F546C" w:rsidRPr="00AC5579" w:rsidRDefault="007F546C" w:rsidP="008971BA">
      <w:pPr>
        <w:numPr>
          <w:ilvl w:val="0"/>
          <w:numId w:val="18"/>
        </w:numPr>
        <w:jc w:val="left"/>
      </w:pPr>
      <w:r w:rsidRPr="00AC5579">
        <w:t xml:space="preserve">Afvikling af OIS (offentlig informationsserver), når fællesoffentlig datafordeler og tilhørende slutbrugerløsninger er i stand til at dække behovet. </w:t>
      </w:r>
    </w:p>
    <w:p w:rsidR="007F546C" w:rsidRPr="00AC5579" w:rsidRDefault="007F546C" w:rsidP="007F546C"/>
    <w:p w:rsidR="007F546C" w:rsidRPr="00AC5579" w:rsidRDefault="007F546C" w:rsidP="007F546C"/>
    <w:p w:rsidR="007F546C" w:rsidRPr="00AC5579" w:rsidRDefault="007F546C" w:rsidP="007F546C">
      <w:pPr>
        <w:rPr>
          <w:b/>
        </w:rPr>
      </w:pPr>
      <w:r w:rsidRPr="00AC5579">
        <w:rPr>
          <w:b/>
        </w:rPr>
        <w:t>Resume af aktørens ansvar for grunddataforbedringer</w:t>
      </w:r>
    </w:p>
    <w:p w:rsidR="007F546C" w:rsidRPr="00AC5579" w:rsidRDefault="007F546C" w:rsidP="008971BA">
      <w:pPr>
        <w:numPr>
          <w:ilvl w:val="0"/>
          <w:numId w:val="19"/>
        </w:numPr>
        <w:jc w:val="left"/>
      </w:pPr>
      <w:r w:rsidRPr="00AC5579">
        <w:t>Datavask i forbindelse med, at BBR skal anvende Matriklens nye ejendomsnøgler (BFE-nummer og e-REF), herunder at overgå til at anvende matriklens ejendomsbegreb .</w:t>
      </w:r>
    </w:p>
    <w:p w:rsidR="007F546C" w:rsidRPr="00AC5579" w:rsidRDefault="00AE302D" w:rsidP="008971BA">
      <w:pPr>
        <w:numPr>
          <w:ilvl w:val="0"/>
          <w:numId w:val="19"/>
        </w:numPr>
        <w:jc w:val="left"/>
      </w:pPr>
      <w:r>
        <w:lastRenderedPageBreak/>
        <w:t>Gennemførelse</w:t>
      </w:r>
      <w:r w:rsidR="00B42645" w:rsidRPr="00AC5579">
        <w:t xml:space="preserve"> af</w:t>
      </w:r>
      <w:r w:rsidR="00D51F3F">
        <w:t xml:space="preserve"> </w:t>
      </w:r>
      <w:r w:rsidR="00B42645" w:rsidRPr="00AC5579">
        <w:t>et analyse</w:t>
      </w:r>
      <w:r w:rsidR="007F546C" w:rsidRPr="00AC5579">
        <w:t>projekt for etablering af et harmoniseret og autoritativ begreb for bygnings- og boligarealer og en beskrivelse af sammenhængen til eksisterende arealbegreber.</w:t>
      </w:r>
      <w:r w:rsidR="007F546C" w:rsidRPr="00AC5579" w:rsidDel="003B0486">
        <w:t xml:space="preserve"> </w:t>
      </w:r>
    </w:p>
    <w:p w:rsidR="007F546C" w:rsidRPr="00AC5579" w:rsidRDefault="007F546C" w:rsidP="008971BA">
      <w:pPr>
        <w:numPr>
          <w:ilvl w:val="0"/>
          <w:numId w:val="19"/>
        </w:numPr>
        <w:jc w:val="left"/>
      </w:pPr>
      <w:r w:rsidRPr="00AC5579">
        <w:t>Migrering af data i BBR til ny autoritativ ejendomsbegrebsmodel.</w:t>
      </w:r>
    </w:p>
    <w:p w:rsidR="007F546C" w:rsidRPr="00AC5579" w:rsidRDefault="007F546C" w:rsidP="007F546C"/>
    <w:p w:rsidR="007F546C" w:rsidRPr="00AC5579" w:rsidRDefault="007F546C" w:rsidP="007F546C">
      <w:pPr>
        <w:rPr>
          <w:b/>
        </w:rPr>
      </w:pPr>
    </w:p>
    <w:p w:rsidR="007F546C" w:rsidRPr="00AC5579" w:rsidRDefault="007F546C" w:rsidP="007F546C">
      <w:pPr>
        <w:rPr>
          <w:b/>
        </w:rPr>
      </w:pPr>
      <w:r w:rsidRPr="00AC5579">
        <w:rPr>
          <w:b/>
        </w:rPr>
        <w:t>Beskrivelse procesændringer (nye/ændrede/bortfaldne processer)</w:t>
      </w:r>
    </w:p>
    <w:p w:rsidR="007F546C" w:rsidRPr="00AC5579" w:rsidRDefault="007F546C" w:rsidP="008971BA">
      <w:pPr>
        <w:numPr>
          <w:ilvl w:val="0"/>
          <w:numId w:val="17"/>
        </w:numPr>
        <w:jc w:val="left"/>
      </w:pPr>
      <w:r w:rsidRPr="00AC5579">
        <w:t>Der sker ingen ændringer i forvaltningsprocesser hos MBBL i forhold at indsamle, vedligeholde og anvende autoritative ejendoms- og bygningsdata.</w:t>
      </w:r>
    </w:p>
    <w:p w:rsidR="007F546C" w:rsidRPr="00AC5579" w:rsidRDefault="007F546C" w:rsidP="007F546C"/>
    <w:p w:rsidR="007F546C" w:rsidRPr="00AC5579" w:rsidRDefault="007F546C" w:rsidP="007F546C">
      <w:pPr>
        <w:pStyle w:val="Overskrift2"/>
        <w:rPr>
          <w:lang w:val="da-DK"/>
        </w:rPr>
      </w:pPr>
      <w:bookmarkStart w:id="94" w:name="_Toc333334374"/>
      <w:bookmarkStart w:id="95" w:name="_Toc333334377"/>
      <w:bookmarkStart w:id="96" w:name="_Toc341024655"/>
      <w:bookmarkStart w:id="97" w:name="_Ref347320563"/>
      <w:bookmarkEnd w:id="94"/>
      <w:bookmarkEnd w:id="95"/>
      <w:r w:rsidRPr="00AC5579">
        <w:rPr>
          <w:lang w:val="da-DK"/>
        </w:rPr>
        <w:t>Kommunerne</w:t>
      </w:r>
      <w:bookmarkEnd w:id="96"/>
      <w:bookmarkEnd w:id="97"/>
    </w:p>
    <w:p w:rsidR="007F546C" w:rsidRPr="00AC5579" w:rsidRDefault="007F546C" w:rsidP="007F546C">
      <w:r w:rsidRPr="00AC5579">
        <w:t>Resultatet af analysen af arbejdsprocesser og infrastruktur kan for kommunerne sammenfattes i følgende.</w:t>
      </w:r>
    </w:p>
    <w:p w:rsidR="007F546C" w:rsidRPr="00AC5579" w:rsidRDefault="007F546C" w:rsidP="007F546C"/>
    <w:p w:rsidR="007F546C" w:rsidRPr="00AC5579" w:rsidRDefault="007F546C" w:rsidP="007F546C">
      <w:pPr>
        <w:rPr>
          <w:b/>
        </w:rPr>
      </w:pPr>
    </w:p>
    <w:p w:rsidR="007F546C" w:rsidRPr="00AC5579" w:rsidRDefault="007F546C" w:rsidP="007F546C">
      <w:pPr>
        <w:rPr>
          <w:b/>
        </w:rPr>
      </w:pPr>
      <w:r w:rsidRPr="00AC5579">
        <w:rPr>
          <w:b/>
        </w:rPr>
        <w:t>Resume af kommunernes ansvar for infrastrukturforbedringer</w:t>
      </w:r>
    </w:p>
    <w:p w:rsidR="007F546C" w:rsidRPr="00AC5579" w:rsidRDefault="007F546C" w:rsidP="008971BA">
      <w:pPr>
        <w:numPr>
          <w:ilvl w:val="0"/>
          <w:numId w:val="13"/>
        </w:numPr>
        <w:jc w:val="left"/>
      </w:pPr>
      <w:r w:rsidRPr="00AC5579">
        <w:t>Udvikling og implementering af nyt kommunalt forretningssystem (</w:t>
      </w:r>
      <w:r w:rsidR="00DE2785">
        <w:t xml:space="preserve">til erstatning for </w:t>
      </w:r>
      <w:r w:rsidR="0011378C">
        <w:t>de nuværende ESR</w:t>
      </w:r>
      <w:r w:rsidRPr="00AC5579">
        <w:t xml:space="preserve">) med klienter, der understøtter håndtering af ejendomsskat, bidrag/afgifter og leje og administration af kommunale ejendomme. </w:t>
      </w:r>
      <w:r w:rsidR="0011378C">
        <w:t>Dette system får</w:t>
      </w:r>
      <w:r w:rsidRPr="00AC5579">
        <w:t xml:space="preserve"> et reduceret dataindhold i fht. det eksisterende ESR, idet stamregisterdelen ikke videreføres.</w:t>
      </w:r>
    </w:p>
    <w:p w:rsidR="007F546C" w:rsidRPr="00AC5579" w:rsidRDefault="007F546C" w:rsidP="008971BA">
      <w:pPr>
        <w:numPr>
          <w:ilvl w:val="0"/>
          <w:numId w:val="13"/>
        </w:numPr>
        <w:jc w:val="left"/>
      </w:pPr>
      <w:r w:rsidRPr="00AC5579">
        <w:t>Afvikling af eksisterende ESR med hensyn til data og funktionalitet til ejendomsskat, bidrag og registerdelen om ejendomme og ejere</w:t>
      </w:r>
    </w:p>
    <w:p w:rsidR="007F546C" w:rsidRPr="00AC5579" w:rsidRDefault="007F546C" w:rsidP="008971BA">
      <w:pPr>
        <w:numPr>
          <w:ilvl w:val="0"/>
          <w:numId w:val="13"/>
        </w:numPr>
        <w:jc w:val="left"/>
      </w:pPr>
      <w:r w:rsidRPr="00AC5579">
        <w:t>Afvikle køb af og abonnement på kopidata om ejendomme og ejere, da disse data fremover kan hentes via datafordeler. Vedrører fx anvendelse af data om ejendomme og ejere fra Ejendoms- og Miljødatabasen og lignende løsninger.</w:t>
      </w:r>
    </w:p>
    <w:p w:rsidR="007F546C" w:rsidRPr="00AC5579" w:rsidRDefault="007F546C" w:rsidP="007F546C"/>
    <w:p w:rsidR="007F546C" w:rsidRPr="00AC5579" w:rsidRDefault="007F546C" w:rsidP="007F546C">
      <w:pPr>
        <w:rPr>
          <w:b/>
        </w:rPr>
      </w:pPr>
    </w:p>
    <w:p w:rsidR="007F546C" w:rsidRPr="00AC5579" w:rsidRDefault="007F546C" w:rsidP="007F546C">
      <w:pPr>
        <w:rPr>
          <w:b/>
        </w:rPr>
      </w:pPr>
      <w:r w:rsidRPr="00AC5579">
        <w:rPr>
          <w:b/>
        </w:rPr>
        <w:t>Resume af kommunernes ansvar for gennemførelse og anvendelse af grunddataforbedringer</w:t>
      </w:r>
    </w:p>
    <w:p w:rsidR="007F546C" w:rsidRPr="00AC5579" w:rsidRDefault="007F546C" w:rsidP="007F546C">
      <w:r w:rsidRPr="00AC5579">
        <w:t xml:space="preserve">Baseret på fælles metoder og eventuelt pilotprojekt skal kommunerne bidrage </w:t>
      </w:r>
      <w:r w:rsidR="0083164D">
        <w:t>med</w:t>
      </w:r>
    </w:p>
    <w:p w:rsidR="007F546C" w:rsidRPr="00AC5579" w:rsidRDefault="0083164D" w:rsidP="008971BA">
      <w:pPr>
        <w:numPr>
          <w:ilvl w:val="0"/>
          <w:numId w:val="13"/>
        </w:numPr>
        <w:jc w:val="left"/>
      </w:pPr>
      <w:r>
        <w:t xml:space="preserve">Data og viden til datavask af ejendomsdata </w:t>
      </w:r>
      <w:r w:rsidR="007F546C" w:rsidRPr="00AC5579">
        <w:t>f</w:t>
      </w:r>
      <w:r>
        <w:t xml:space="preserve">or </w:t>
      </w:r>
      <w:r w:rsidR="007F546C" w:rsidRPr="00AC5579">
        <w:t>ejerlejligheder og bygninger på fremmed grund</w:t>
      </w:r>
      <w:r>
        <w:t>, herunder identifikation af ejerlejligheder og bygninger på fremmed grund</w:t>
      </w:r>
      <w:r w:rsidR="007F546C" w:rsidRPr="00AC5579">
        <w:t xml:space="preserve"> fra ESR/BBR.</w:t>
      </w:r>
    </w:p>
    <w:p w:rsidR="007F546C" w:rsidRPr="00AC5579" w:rsidRDefault="00EE788B" w:rsidP="008971BA">
      <w:pPr>
        <w:numPr>
          <w:ilvl w:val="0"/>
          <w:numId w:val="13"/>
        </w:numPr>
        <w:jc w:val="left"/>
      </w:pPr>
      <w:r w:rsidRPr="00AC5579">
        <w:t xml:space="preserve">Afklaring af ejerforholdene i forbindelses med </w:t>
      </w:r>
      <w:r w:rsidR="0011378C">
        <w:t>migrering</w:t>
      </w:r>
      <w:r w:rsidR="0011378C" w:rsidRPr="00AC5579">
        <w:t xml:space="preserve"> </w:t>
      </w:r>
      <w:r w:rsidR="007F546C" w:rsidRPr="00AC5579">
        <w:t>af ejeroplysninger fra ESR</w:t>
      </w:r>
      <w:r w:rsidR="0011378C">
        <w:t xml:space="preserve"> til Ejerfortegnelsen</w:t>
      </w:r>
      <w:r w:rsidR="007F546C" w:rsidRPr="00AC5579">
        <w:t>.</w:t>
      </w:r>
    </w:p>
    <w:p w:rsidR="007F546C" w:rsidRPr="00AC5579" w:rsidRDefault="00EE788B" w:rsidP="008971BA">
      <w:pPr>
        <w:numPr>
          <w:ilvl w:val="0"/>
          <w:numId w:val="13"/>
        </w:numPr>
        <w:jc w:val="left"/>
      </w:pPr>
      <w:r w:rsidRPr="00AC5579">
        <w:t>Afklaring af ejendomsforholdene i forbindelse med d</w:t>
      </w:r>
      <w:r w:rsidR="007F546C" w:rsidRPr="00AC5579">
        <w:t>atavask af ejendomsoplysninger i ESR/BBR, Matriklen og Tingbog.</w:t>
      </w:r>
    </w:p>
    <w:p w:rsidR="007F546C" w:rsidRPr="00AC5579" w:rsidRDefault="007F546C" w:rsidP="007F546C"/>
    <w:p w:rsidR="007F546C" w:rsidRPr="00AC5579" w:rsidRDefault="007F546C" w:rsidP="007F546C"/>
    <w:p w:rsidR="007F546C" w:rsidRPr="00AC5579" w:rsidRDefault="007F546C" w:rsidP="007F546C">
      <w:pPr>
        <w:rPr>
          <w:b/>
        </w:rPr>
      </w:pPr>
      <w:r w:rsidRPr="00AC5579">
        <w:rPr>
          <w:b/>
        </w:rPr>
        <w:t>Beskrivelse af procesændringer (nye/ændrede/bortfaldne processer)</w:t>
      </w:r>
    </w:p>
    <w:p w:rsidR="007F546C" w:rsidRPr="00AC5579" w:rsidRDefault="007F546C" w:rsidP="007F546C">
      <w:r w:rsidRPr="00AC5579">
        <w:t xml:space="preserve">Projektets proceskortlægning har peget på, at en implementering af </w:t>
      </w:r>
      <w:r w:rsidR="00267286" w:rsidRPr="00AC5579">
        <w:t>programmet</w:t>
      </w:r>
      <w:r w:rsidRPr="00AC5579">
        <w:t xml:space="preserve"> betyder følgende ændringer i den kommunale opgaveløsning:</w:t>
      </w:r>
    </w:p>
    <w:p w:rsidR="007F546C" w:rsidRPr="00AC5579" w:rsidRDefault="007F546C" w:rsidP="008971BA">
      <w:pPr>
        <w:numPr>
          <w:ilvl w:val="0"/>
          <w:numId w:val="13"/>
        </w:numPr>
        <w:jc w:val="left"/>
      </w:pPr>
      <w:r w:rsidRPr="00AC5579">
        <w:t xml:space="preserve">Bortfald af registreringsopgaver i kommunen ved matrikulær udstykning og forandring, samt ved oprettelse af ejerlejligheder og bygninger på fremmed grund. </w:t>
      </w:r>
    </w:p>
    <w:p w:rsidR="007F546C" w:rsidRPr="00AC5579" w:rsidRDefault="007F546C" w:rsidP="008971BA">
      <w:pPr>
        <w:numPr>
          <w:ilvl w:val="1"/>
          <w:numId w:val="13"/>
        </w:numPr>
        <w:jc w:val="left"/>
      </w:pPr>
      <w:r w:rsidRPr="00AC5579">
        <w:t xml:space="preserve">Kommunen skal ikke længere oprette nye ejendomme (jordstykker, ejerlejligheder eller bygninger på fremmed grund) med ejeroplysninger, </w:t>
      </w:r>
      <w:r w:rsidRPr="00AC5579">
        <w:lastRenderedPageBreak/>
        <w:t>adresse og andre data i ESR. Ligeledes bortfalder kommunens opgaver med at vedligeholde disse oplysninger</w:t>
      </w:r>
    </w:p>
    <w:p w:rsidR="007F546C" w:rsidRPr="00AC5579" w:rsidRDefault="007F546C" w:rsidP="008971BA">
      <w:pPr>
        <w:numPr>
          <w:ilvl w:val="1"/>
          <w:numId w:val="13"/>
        </w:numPr>
        <w:jc w:val="left"/>
      </w:pPr>
      <w:r w:rsidRPr="00AC5579">
        <w:t>Kontroller, tilbageløb og fejlrettelser bortfalder, fordi der sker en tidlig identifikation og registrering af ejendomme i autoritativt register (Matriklen).</w:t>
      </w:r>
    </w:p>
    <w:p w:rsidR="007F546C" w:rsidRPr="00AC5579" w:rsidRDefault="007F546C" w:rsidP="008971BA">
      <w:pPr>
        <w:numPr>
          <w:ilvl w:val="0"/>
          <w:numId w:val="13"/>
        </w:numPr>
        <w:jc w:val="left"/>
      </w:pPr>
      <w:r w:rsidRPr="00AC5579">
        <w:t>Bortfald af ajou</w:t>
      </w:r>
      <w:r w:rsidR="00D51F3F">
        <w:t>r</w:t>
      </w:r>
      <w:r w:rsidRPr="00AC5579">
        <w:t>føringsopgaver i kommunen ved tinglyst ejerskifte og visse CPR hændelser</w:t>
      </w:r>
    </w:p>
    <w:p w:rsidR="007F546C" w:rsidRPr="00AC5579" w:rsidRDefault="007F546C" w:rsidP="008971BA">
      <w:pPr>
        <w:numPr>
          <w:ilvl w:val="1"/>
          <w:numId w:val="13"/>
        </w:numPr>
        <w:jc w:val="left"/>
      </w:pPr>
      <w:r w:rsidRPr="00AC5579">
        <w:t>Entydig identifikation af ejendomme (BFE-nummer) og deres ejere (CPR/CVR numre) sikrer, at der kan ske en automatisk ajourføring af Ejerfortegnelsen på grundlag af Tingbogens oplysninger om ejerskifte.</w:t>
      </w:r>
    </w:p>
    <w:p w:rsidR="007F546C" w:rsidRPr="00AC5579" w:rsidRDefault="007F546C" w:rsidP="008971BA">
      <w:pPr>
        <w:numPr>
          <w:ilvl w:val="1"/>
          <w:numId w:val="13"/>
        </w:numPr>
        <w:jc w:val="left"/>
      </w:pPr>
      <w:r w:rsidRPr="00AC5579">
        <w:t>Registrering af CPR-hændelser (ejers død, flytninger til/fra udlandet m.v.) bortfalder fordi Ejerfortegnelsen referer direkte til CPR.</w:t>
      </w:r>
    </w:p>
    <w:p w:rsidR="007F546C" w:rsidRPr="00AC5579" w:rsidRDefault="007F546C" w:rsidP="008971BA">
      <w:pPr>
        <w:numPr>
          <w:ilvl w:val="1"/>
          <w:numId w:val="13"/>
        </w:numPr>
        <w:jc w:val="left"/>
      </w:pPr>
      <w:r w:rsidRPr="00AC5579">
        <w:t>Færre ressourcer til fejlhåndtering og opklaring af sager.</w:t>
      </w:r>
    </w:p>
    <w:p w:rsidR="007F546C" w:rsidRPr="00AC5579" w:rsidRDefault="007F546C" w:rsidP="008971BA">
      <w:pPr>
        <w:numPr>
          <w:ilvl w:val="0"/>
          <w:numId w:val="13"/>
        </w:numPr>
        <w:jc w:val="left"/>
      </w:pPr>
      <w:r w:rsidRPr="00AC5579">
        <w:t>Bortfald af registreringsopgave i kommunen ved manuelt (ikke-tinglyst) ejerskifte</w:t>
      </w:r>
    </w:p>
    <w:p w:rsidR="007F546C" w:rsidRPr="00AC5579" w:rsidRDefault="007F546C" w:rsidP="008971BA">
      <w:pPr>
        <w:numPr>
          <w:ilvl w:val="1"/>
          <w:numId w:val="13"/>
        </w:numPr>
        <w:jc w:val="left"/>
      </w:pPr>
      <w:r w:rsidRPr="00AC5579">
        <w:t>Alle ejerskifter skal fremover anmeldes til den autoritative Ejerfortegnelse, der etableres i tilknytning til Tingbogen og administreres af Tinglysningsretten.</w:t>
      </w:r>
    </w:p>
    <w:p w:rsidR="007F546C" w:rsidRPr="00AC5579" w:rsidRDefault="007F546C" w:rsidP="008971BA">
      <w:pPr>
        <w:numPr>
          <w:ilvl w:val="0"/>
          <w:numId w:val="13"/>
        </w:numPr>
        <w:jc w:val="left"/>
      </w:pPr>
      <w:r w:rsidRPr="00AC5579">
        <w:t>Ændret registreringsopgave i kommunen vedr. BBR</w:t>
      </w:r>
      <w:r w:rsidRPr="00AC5579">
        <w:tab/>
      </w:r>
    </w:p>
    <w:p w:rsidR="007F546C" w:rsidRPr="00AC5579" w:rsidRDefault="007F546C" w:rsidP="008971BA">
      <w:pPr>
        <w:numPr>
          <w:ilvl w:val="1"/>
          <w:numId w:val="13"/>
        </w:numPr>
        <w:jc w:val="left"/>
      </w:pPr>
      <w:r w:rsidRPr="00AC5579">
        <w:t>Bortfald af opgaver med at vedligeholde matrikulære referencer til jordstykker, bygninger og ejerlejligheder i BBR. Kommunen vil fortsat blive involveret i de sager,  hvor landinspektøren ikke med sikkerhed kan stedfæste bygningen .</w:t>
      </w:r>
    </w:p>
    <w:p w:rsidR="007F546C" w:rsidRPr="00AC5579" w:rsidRDefault="007F546C" w:rsidP="008971BA">
      <w:pPr>
        <w:numPr>
          <w:ilvl w:val="1"/>
          <w:numId w:val="13"/>
        </w:numPr>
        <w:jc w:val="left"/>
      </w:pPr>
      <w:r w:rsidRPr="00AC5579">
        <w:t>Forenklet proces for dannelse af adresser i forbindelse med matrikulære ændringer.</w:t>
      </w:r>
    </w:p>
    <w:p w:rsidR="007F546C" w:rsidRPr="00AC5579" w:rsidRDefault="007F546C" w:rsidP="008971BA">
      <w:pPr>
        <w:numPr>
          <w:ilvl w:val="0"/>
          <w:numId w:val="13"/>
        </w:numPr>
        <w:jc w:val="left"/>
      </w:pPr>
      <w:r w:rsidRPr="00AC5579">
        <w:t>Ny systemunderstøttelse og grunddata til opgaver med kommunal ejendomsskat og bidrag</w:t>
      </w:r>
    </w:p>
    <w:p w:rsidR="007F546C" w:rsidRPr="00AC5579" w:rsidRDefault="007F546C" w:rsidP="008971BA">
      <w:pPr>
        <w:numPr>
          <w:ilvl w:val="1"/>
          <w:numId w:val="13"/>
        </w:numPr>
        <w:jc w:val="left"/>
      </w:pPr>
      <w:r w:rsidRPr="00AC5579">
        <w:t>Mindre ændring af arbejdsgange vedr. ejendomsskat og bidrag som følge af forbedringer i grunddata.</w:t>
      </w:r>
    </w:p>
    <w:p w:rsidR="007F546C" w:rsidRPr="00AC5579" w:rsidRDefault="007F546C" w:rsidP="008971BA">
      <w:pPr>
        <w:numPr>
          <w:ilvl w:val="1"/>
          <w:numId w:val="13"/>
        </w:numPr>
        <w:jc w:val="left"/>
      </w:pPr>
      <w:r w:rsidRPr="00AC5579">
        <w:t>Mindre ændring af arbejdsgange vedr. ejendomsskat og bidrag som følge af ny og forbedret systemunderstøttelse, der bl.a. udnytter forbedringer i grunddata.</w:t>
      </w:r>
    </w:p>
    <w:p w:rsidR="007F546C" w:rsidRPr="00AC5579" w:rsidRDefault="007F546C" w:rsidP="007F546C">
      <w:pPr>
        <w:ind w:left="1440"/>
      </w:pPr>
    </w:p>
    <w:p w:rsidR="007F546C" w:rsidRPr="00AC5579" w:rsidRDefault="00533A36" w:rsidP="007F546C">
      <w:pPr>
        <w:pStyle w:val="Overskrift2"/>
        <w:rPr>
          <w:lang w:val="da-DK"/>
        </w:rPr>
      </w:pPr>
      <w:bookmarkStart w:id="98" w:name="_Toc333334379"/>
      <w:bookmarkEnd w:id="98"/>
      <w:r>
        <w:rPr>
          <w:lang w:val="da-DK"/>
        </w:rPr>
        <w:t>Geodatastyrelsen</w:t>
      </w:r>
    </w:p>
    <w:p w:rsidR="007F546C" w:rsidRPr="00AC5579" w:rsidRDefault="007F546C" w:rsidP="007F546C">
      <w:r w:rsidRPr="00AC5579">
        <w:t xml:space="preserve">Resultatet af analysen af arbejdsprocesser og infrastruktur kan for </w:t>
      </w:r>
      <w:r w:rsidR="00533A36">
        <w:t xml:space="preserve">Geodatastyrelsen </w:t>
      </w:r>
      <w:r w:rsidRPr="00AC5579">
        <w:t>(</w:t>
      </w:r>
      <w:r w:rsidR="00DE2785">
        <w:t>GST</w:t>
      </w:r>
      <w:r w:rsidRPr="00AC5579">
        <w:t>) sammenfattes i følgende.</w:t>
      </w:r>
    </w:p>
    <w:p w:rsidR="007F546C" w:rsidRPr="00AC5579" w:rsidRDefault="007F546C" w:rsidP="007F546C">
      <w:pPr>
        <w:rPr>
          <w:b/>
        </w:rPr>
      </w:pPr>
    </w:p>
    <w:p w:rsidR="007F546C" w:rsidRPr="00AC5579" w:rsidRDefault="007F546C" w:rsidP="007F546C">
      <w:pPr>
        <w:rPr>
          <w:b/>
        </w:rPr>
      </w:pPr>
      <w:r w:rsidRPr="00AC5579">
        <w:rPr>
          <w:b/>
        </w:rPr>
        <w:t xml:space="preserve">Resume af </w:t>
      </w:r>
      <w:r w:rsidR="00DE2785">
        <w:rPr>
          <w:b/>
        </w:rPr>
        <w:t>GST</w:t>
      </w:r>
      <w:r w:rsidRPr="00AC5579">
        <w:rPr>
          <w:b/>
        </w:rPr>
        <w:t xml:space="preserve"> ansvar for infrastrukturforbedringer</w:t>
      </w:r>
    </w:p>
    <w:p w:rsidR="007F546C" w:rsidRPr="00AC5579" w:rsidRDefault="007F546C" w:rsidP="008971BA">
      <w:pPr>
        <w:numPr>
          <w:ilvl w:val="0"/>
          <w:numId w:val="13"/>
        </w:numPr>
        <w:jc w:val="left"/>
      </w:pPr>
      <w:r w:rsidRPr="00AC5579">
        <w:t>Udvikling og implementering af system (præ-matrikel) for tidlig registrering af alle ejendomstyper (jordstykke, ejerlejlighed og bygning på fremmed grund) under tilblivelse eller forandring. Systemet sikrer en tidlig og entydig ejendomsidentifikation, idet nye ejendomme og disses bestanddele tildeles et BFE-nummer hhv. e-REF.</w:t>
      </w:r>
    </w:p>
    <w:p w:rsidR="007F546C" w:rsidRPr="00AC5579" w:rsidRDefault="007F546C" w:rsidP="008971BA">
      <w:pPr>
        <w:numPr>
          <w:ilvl w:val="0"/>
          <w:numId w:val="13"/>
        </w:numPr>
        <w:jc w:val="left"/>
      </w:pPr>
      <w:r w:rsidRPr="00AC5579">
        <w:t>Udvikling og implementering af et fælles ”sagsregister”, som tillader landinspektør og kommune at dele såvel formelle som tekniske matrikulære sagsdokumenter.</w:t>
      </w:r>
    </w:p>
    <w:p w:rsidR="007F546C" w:rsidRPr="00AC5579" w:rsidRDefault="007F546C" w:rsidP="008971BA">
      <w:pPr>
        <w:numPr>
          <w:ilvl w:val="0"/>
          <w:numId w:val="13"/>
        </w:numPr>
        <w:jc w:val="left"/>
      </w:pPr>
      <w:r w:rsidRPr="00AC5579">
        <w:t xml:space="preserve">I tilknytning til ”sagsregisteret” at udvikle og implementere intelligente elektroniske mekanismer, f.eks. baseret på digital signatur, som sikrer at kommunens og Matrikelmyndighedens sagsbehandling sker på samme datagrundlag. </w:t>
      </w:r>
    </w:p>
    <w:p w:rsidR="007F546C" w:rsidRPr="00AC5579" w:rsidRDefault="007F546C" w:rsidP="008971BA">
      <w:pPr>
        <w:numPr>
          <w:ilvl w:val="0"/>
          <w:numId w:val="13"/>
        </w:numPr>
        <w:jc w:val="left"/>
      </w:pPr>
      <w:r w:rsidRPr="00AC5579">
        <w:t>Tilpasning af systemer og snitflader i Matriklen til at håndtere ejendomstyperne: ejerlejlighed og bygning på fremmed grund.</w:t>
      </w:r>
    </w:p>
    <w:p w:rsidR="007F546C" w:rsidRPr="00AC5579" w:rsidRDefault="007F546C" w:rsidP="008971BA">
      <w:pPr>
        <w:numPr>
          <w:ilvl w:val="0"/>
          <w:numId w:val="13"/>
        </w:numPr>
        <w:jc w:val="left"/>
      </w:pPr>
      <w:r w:rsidRPr="00AC5579">
        <w:t>Tilpasning af systemer og snitflader i Matriklen til at håndtere BFE-nummer og e-REF.</w:t>
      </w:r>
    </w:p>
    <w:p w:rsidR="007F546C" w:rsidRPr="00AC5579" w:rsidRDefault="007F546C" w:rsidP="008971BA">
      <w:pPr>
        <w:numPr>
          <w:ilvl w:val="0"/>
          <w:numId w:val="13"/>
        </w:numPr>
        <w:jc w:val="left"/>
      </w:pPr>
      <w:r w:rsidRPr="00AC5579">
        <w:lastRenderedPageBreak/>
        <w:t xml:space="preserve">Udvikling af services til advisering af kommunen om matrikulære forandringer til myndighedsbehandling og godkendte matrikulære forandringer, herunder at en ny ejendom er dannet. </w:t>
      </w:r>
    </w:p>
    <w:p w:rsidR="007F546C" w:rsidRPr="00AC5579" w:rsidRDefault="007F546C" w:rsidP="008971BA">
      <w:pPr>
        <w:numPr>
          <w:ilvl w:val="0"/>
          <w:numId w:val="13"/>
        </w:numPr>
        <w:jc w:val="left"/>
      </w:pPr>
      <w:r w:rsidRPr="00AC5579">
        <w:t>Udvikling og implementering af funktionalitet til videregivelse af oplysninger om matrikulære referencer (BFE-nr og e-REF) til bygninger og bolig/erhvervsenheder i BBR (sidstnævnte er relevant i forbindelse med sager vedr. opdeling af  ejerlejligheder).</w:t>
      </w:r>
    </w:p>
    <w:p w:rsidR="007F546C" w:rsidRPr="00AC5579" w:rsidRDefault="007F546C" w:rsidP="008971BA">
      <w:pPr>
        <w:numPr>
          <w:ilvl w:val="0"/>
          <w:numId w:val="13"/>
        </w:numPr>
        <w:jc w:val="left"/>
      </w:pPr>
      <w:r w:rsidRPr="00AC5579">
        <w:t>Udvikling og implementering af services til advisering af tingbogen om at en ny ejendom er dannet eller ændret.</w:t>
      </w:r>
    </w:p>
    <w:p w:rsidR="007F546C" w:rsidRPr="00AC5579" w:rsidRDefault="007F546C" w:rsidP="008971BA">
      <w:pPr>
        <w:numPr>
          <w:ilvl w:val="0"/>
          <w:numId w:val="13"/>
        </w:numPr>
        <w:jc w:val="left"/>
      </w:pPr>
      <w:r w:rsidRPr="00AC5579">
        <w:t>Udstille grunddata fra Matriklen og Præ-matrikel via datafordeler.</w:t>
      </w:r>
    </w:p>
    <w:p w:rsidR="000F26DE" w:rsidRPr="00AC5579" w:rsidRDefault="000F26DE" w:rsidP="008971BA">
      <w:pPr>
        <w:numPr>
          <w:ilvl w:val="0"/>
          <w:numId w:val="13"/>
        </w:numPr>
        <w:jc w:val="left"/>
      </w:pPr>
      <w:r w:rsidRPr="00AC5579">
        <w:t>Etablering af snitflade med udbygget validering i forbindelse med den praktiserende landinspektørs indberetning til Præ-matrikel og Matriklen via standardiseret snitflade</w:t>
      </w:r>
      <w:r w:rsidR="008E79D9" w:rsidRPr="00AC5579">
        <w:t>.</w:t>
      </w:r>
    </w:p>
    <w:p w:rsidR="007F546C" w:rsidRPr="00AC5579" w:rsidRDefault="007F546C" w:rsidP="007F546C">
      <w:pPr>
        <w:ind w:left="720"/>
      </w:pPr>
    </w:p>
    <w:p w:rsidR="007F546C" w:rsidRPr="00AC5579" w:rsidRDefault="007F546C" w:rsidP="007F546C">
      <w:pPr>
        <w:rPr>
          <w:b/>
        </w:rPr>
      </w:pPr>
    </w:p>
    <w:p w:rsidR="007F546C" w:rsidRPr="00AC5579" w:rsidRDefault="007F546C" w:rsidP="007F546C">
      <w:pPr>
        <w:rPr>
          <w:b/>
        </w:rPr>
      </w:pPr>
      <w:r w:rsidRPr="00AC5579">
        <w:rPr>
          <w:b/>
        </w:rPr>
        <w:t xml:space="preserve">Resume af </w:t>
      </w:r>
      <w:r w:rsidR="00DE2785">
        <w:rPr>
          <w:b/>
        </w:rPr>
        <w:t>GST</w:t>
      </w:r>
      <w:r w:rsidRPr="00AC5579">
        <w:rPr>
          <w:b/>
        </w:rPr>
        <w:t xml:space="preserve"> ansvar for grunddataforbedringer</w:t>
      </w:r>
    </w:p>
    <w:p w:rsidR="007F546C" w:rsidRPr="00AC5579" w:rsidRDefault="007F546C" w:rsidP="007F546C">
      <w:r w:rsidRPr="00AC5579">
        <w:t xml:space="preserve">Baseret på fælles metoder og eventuelt pilotprojekt til afklaring af opgavernes omfang  skal </w:t>
      </w:r>
      <w:r w:rsidR="00DE2785">
        <w:t>GST</w:t>
      </w:r>
      <w:r w:rsidRPr="00AC5579">
        <w:t>:</w:t>
      </w:r>
    </w:p>
    <w:p w:rsidR="007F546C" w:rsidRPr="00AC5579" w:rsidRDefault="007F546C" w:rsidP="008971BA">
      <w:pPr>
        <w:numPr>
          <w:ilvl w:val="0"/>
          <w:numId w:val="13"/>
        </w:numPr>
        <w:jc w:val="left"/>
      </w:pPr>
      <w:r w:rsidRPr="00AC5579">
        <w:t>Tilknytte entydige nøgler (BFE-nummer og e-REF) til Matriklens eksisterende ejendomme og jordstykker.</w:t>
      </w:r>
    </w:p>
    <w:p w:rsidR="007F546C" w:rsidRPr="00AC5579" w:rsidRDefault="007F546C" w:rsidP="008971BA">
      <w:pPr>
        <w:numPr>
          <w:ilvl w:val="0"/>
          <w:numId w:val="13"/>
        </w:numPr>
        <w:jc w:val="left"/>
      </w:pPr>
      <w:r w:rsidRPr="00AC5579">
        <w:t xml:space="preserve">Forestå datavask af ejendomsoplysninger i ESR, Matriklen og Tingbog, herunder </w:t>
      </w:r>
    </w:p>
    <w:p w:rsidR="007F546C" w:rsidRPr="00AC5579" w:rsidRDefault="007F546C" w:rsidP="007F546C">
      <w:pPr>
        <w:ind w:left="720"/>
      </w:pPr>
      <w:r w:rsidRPr="00AC5579">
        <w:t xml:space="preserve">tildeling af BFE-nummer til ejerlejligheder og bygning på fremmed grund. Disse opgaver gennemføres i samarbejde med kommuner, Tinglysningsretten og MBBL. Datavasken omfatter: </w:t>
      </w:r>
    </w:p>
    <w:p w:rsidR="007F546C" w:rsidRPr="00AC5579" w:rsidRDefault="007F546C" w:rsidP="008971BA">
      <w:pPr>
        <w:numPr>
          <w:ilvl w:val="0"/>
          <w:numId w:val="15"/>
        </w:numPr>
        <w:jc w:val="left"/>
      </w:pPr>
      <w:r w:rsidRPr="00AC5579">
        <w:t xml:space="preserve">Samkøring og matching af Matriklens registreringer af jordstykker med de tilsvarende registreringer i Tingbogen, ESR og BBR. </w:t>
      </w:r>
    </w:p>
    <w:p w:rsidR="007F546C" w:rsidRPr="00AC5579" w:rsidRDefault="007F546C" w:rsidP="008971BA">
      <w:pPr>
        <w:numPr>
          <w:ilvl w:val="0"/>
          <w:numId w:val="15"/>
        </w:numPr>
        <w:jc w:val="left"/>
      </w:pPr>
      <w:r w:rsidRPr="00AC5579">
        <w:t>Samkøring og matching af Tingbogens, ESRs og BBRs registreringer af ejerlejligheder.</w:t>
      </w:r>
    </w:p>
    <w:p w:rsidR="007F546C" w:rsidRPr="00AC5579" w:rsidRDefault="007F546C" w:rsidP="008971BA">
      <w:pPr>
        <w:numPr>
          <w:ilvl w:val="0"/>
          <w:numId w:val="15"/>
        </w:numPr>
        <w:jc w:val="left"/>
      </w:pPr>
      <w:r w:rsidRPr="00AC5579">
        <w:t xml:space="preserve">Samkøring og matching af Tingbogens, ESRs  og BBRs registreringer af bygninger på fremmed grund </w:t>
      </w:r>
    </w:p>
    <w:p w:rsidR="007F546C" w:rsidRPr="00AC5579" w:rsidRDefault="007F546C" w:rsidP="007F546C"/>
    <w:p w:rsidR="007F546C" w:rsidRPr="00AC5579" w:rsidRDefault="007F546C" w:rsidP="007F546C">
      <w:pPr>
        <w:rPr>
          <w:b/>
        </w:rPr>
      </w:pPr>
    </w:p>
    <w:p w:rsidR="007F546C" w:rsidRPr="00AC5579" w:rsidRDefault="007F546C" w:rsidP="007F546C">
      <w:pPr>
        <w:rPr>
          <w:b/>
        </w:rPr>
      </w:pPr>
      <w:r w:rsidRPr="00AC5579">
        <w:rPr>
          <w:b/>
        </w:rPr>
        <w:t>Beskrivelse af procesændringer (nye/ændrede/bortfaldne processer)</w:t>
      </w:r>
    </w:p>
    <w:p w:rsidR="007F546C" w:rsidRPr="00AC5579" w:rsidRDefault="00B42645" w:rsidP="007F546C">
      <w:r w:rsidRPr="00AC5579">
        <w:t xml:space="preserve">En </w:t>
      </w:r>
      <w:r w:rsidR="007F546C" w:rsidRPr="00AC5579">
        <w:t xml:space="preserve">procesanalyse har peget på, at en implementering af </w:t>
      </w:r>
      <w:r w:rsidR="00267286" w:rsidRPr="00AC5579">
        <w:t>programmet</w:t>
      </w:r>
      <w:r w:rsidR="007F546C" w:rsidRPr="00AC5579">
        <w:t xml:space="preserve"> betyder følgende ændringer i </w:t>
      </w:r>
      <w:r w:rsidR="00DE2785">
        <w:t>GST</w:t>
      </w:r>
      <w:r w:rsidR="007F546C" w:rsidRPr="00AC5579">
        <w:t>’s opgaveløsning:</w:t>
      </w:r>
    </w:p>
    <w:p w:rsidR="007F546C" w:rsidRPr="00AC5579" w:rsidRDefault="007F546C" w:rsidP="008971BA">
      <w:pPr>
        <w:numPr>
          <w:ilvl w:val="0"/>
          <w:numId w:val="13"/>
        </w:numPr>
        <w:jc w:val="left"/>
      </w:pPr>
      <w:r w:rsidRPr="00AC5579">
        <w:t xml:space="preserve">Ændret proces for matrikulær sagsbehandling og registrering hos </w:t>
      </w:r>
      <w:r w:rsidR="00DE2785">
        <w:t>GST</w:t>
      </w:r>
      <w:r w:rsidRPr="00AC5579">
        <w:t xml:space="preserve"> ved ejendomsændringer</w:t>
      </w:r>
    </w:p>
    <w:p w:rsidR="007F546C" w:rsidRPr="00AC5579" w:rsidRDefault="007F546C" w:rsidP="008971BA">
      <w:pPr>
        <w:numPr>
          <w:ilvl w:val="1"/>
          <w:numId w:val="13"/>
        </w:numPr>
        <w:jc w:val="left"/>
      </w:pPr>
      <w:r w:rsidRPr="00AC5579">
        <w:t>Færre tilbageløb ved prøvelse af matrikulære forandringer pga. en forbedret sagsdokumentation og et standardiseret samspil mellem praktiserende landinspektør og de godkendende myndigheder.</w:t>
      </w:r>
    </w:p>
    <w:p w:rsidR="007F546C" w:rsidRPr="00AC5579" w:rsidRDefault="007F546C" w:rsidP="008971BA">
      <w:pPr>
        <w:numPr>
          <w:ilvl w:val="1"/>
          <w:numId w:val="13"/>
        </w:numPr>
        <w:jc w:val="left"/>
      </w:pPr>
      <w:r w:rsidRPr="00AC5579">
        <w:t>Ny opgave med prøvning og registrering af ejerlejlighedsopdelinger og bygninger på fremmed grund.</w:t>
      </w:r>
    </w:p>
    <w:p w:rsidR="007F546C" w:rsidRPr="00AC5579" w:rsidRDefault="007F546C" w:rsidP="007F546C">
      <w:pPr>
        <w:ind w:left="720"/>
      </w:pPr>
    </w:p>
    <w:p w:rsidR="007F546C" w:rsidRPr="00AC5579" w:rsidRDefault="007F546C" w:rsidP="007F546C">
      <w:pPr>
        <w:rPr>
          <w:b/>
        </w:rPr>
      </w:pPr>
    </w:p>
    <w:p w:rsidR="007F546C" w:rsidRPr="00AC5579" w:rsidRDefault="007F546C" w:rsidP="007F546C">
      <w:pPr>
        <w:pStyle w:val="Overskrift2"/>
        <w:rPr>
          <w:lang w:val="da-DK"/>
        </w:rPr>
      </w:pPr>
      <w:bookmarkStart w:id="99" w:name="_Toc333334385"/>
      <w:bookmarkStart w:id="100" w:name="_Toc341024657"/>
      <w:bookmarkStart w:id="101" w:name="_Ref347320603"/>
      <w:bookmarkEnd w:id="99"/>
      <w:r w:rsidRPr="00AC5579">
        <w:rPr>
          <w:lang w:val="da-DK"/>
        </w:rPr>
        <w:t>Skat</w:t>
      </w:r>
      <w:bookmarkEnd w:id="100"/>
      <w:bookmarkEnd w:id="101"/>
    </w:p>
    <w:p w:rsidR="007F546C" w:rsidRPr="00AC5579" w:rsidRDefault="007F546C" w:rsidP="007F546C">
      <w:r w:rsidRPr="00AC5579">
        <w:t>Resultatet af analysen af arbejdsprocesser og infrastruktur kan for SKAT sammenfattes i følgende.</w:t>
      </w:r>
    </w:p>
    <w:p w:rsidR="007F546C" w:rsidRPr="00AC5579" w:rsidRDefault="007F546C" w:rsidP="007F546C"/>
    <w:p w:rsidR="007F546C" w:rsidRPr="00AC5579" w:rsidRDefault="007F546C" w:rsidP="007F546C">
      <w:pPr>
        <w:rPr>
          <w:b/>
        </w:rPr>
      </w:pPr>
      <w:r w:rsidRPr="00AC5579">
        <w:rPr>
          <w:b/>
        </w:rPr>
        <w:lastRenderedPageBreak/>
        <w:t>Resume af SKAT’s ansvar for infrastrukturforbedringer,</w:t>
      </w:r>
      <w:r w:rsidR="0075338C" w:rsidRPr="00AC5579">
        <w:rPr>
          <w:b/>
        </w:rPr>
        <w:t xml:space="preserve"> som skal gennemføres uafhængigt af SKAT</w:t>
      </w:r>
      <w:r w:rsidR="00697468">
        <w:rPr>
          <w:b/>
        </w:rPr>
        <w:t>s evt. deltagelse i programmet</w:t>
      </w:r>
      <w:r w:rsidRPr="00AC5579">
        <w:rPr>
          <w:b/>
        </w:rPr>
        <w:t>:</w:t>
      </w:r>
    </w:p>
    <w:p w:rsidR="007F546C" w:rsidRDefault="007F546C" w:rsidP="008971BA">
      <w:pPr>
        <w:numPr>
          <w:ilvl w:val="0"/>
          <w:numId w:val="13"/>
        </w:numPr>
        <w:jc w:val="left"/>
      </w:pPr>
      <w:r w:rsidRPr="00AC5579">
        <w:t xml:space="preserve"> Tilpasning af egne vurderingssystemer til at understøtte det fremtidige fælles ejendomsbegreb (BFE).  I  videst mulig omfang benyttes BFE-nr. som ejendomsnøgle i stedet for nuværende ejendomsnummer (ESR-nummer)</w:t>
      </w:r>
      <w:r w:rsidR="007074FD">
        <w:t xml:space="preserve"> [Afklaring af hvordan SKAT får relationen mellem BFE-nummer og Ejendomsnummer udestår]</w:t>
      </w:r>
      <w:r w:rsidRPr="00AC5579">
        <w:t>.</w:t>
      </w:r>
    </w:p>
    <w:p w:rsidR="0075536E" w:rsidRDefault="00555A50" w:rsidP="008971BA">
      <w:pPr>
        <w:numPr>
          <w:ilvl w:val="0"/>
          <w:numId w:val="13"/>
        </w:numPr>
        <w:jc w:val="left"/>
      </w:pPr>
      <w:r w:rsidRPr="00AC5579">
        <w:t>Tildeling af ”vurderingsejendomsnummer” til ejendomme, som ikke kan vurderes særskilt som én bestemt fast ejendom med eget BFE-nr.</w:t>
      </w:r>
    </w:p>
    <w:p w:rsidR="007F546C" w:rsidRPr="00AC5579" w:rsidRDefault="007F546C" w:rsidP="008971BA">
      <w:pPr>
        <w:numPr>
          <w:ilvl w:val="0"/>
          <w:numId w:val="13"/>
        </w:numPr>
        <w:jc w:val="left"/>
      </w:pPr>
      <w:r w:rsidRPr="00AC5579">
        <w:t>Hente grunddata om ejendomme, bygninger og ejere i datafordeleren.</w:t>
      </w:r>
    </w:p>
    <w:p w:rsidR="007F546C" w:rsidRPr="00AC5579" w:rsidRDefault="007F546C" w:rsidP="008971BA">
      <w:pPr>
        <w:numPr>
          <w:ilvl w:val="0"/>
          <w:numId w:val="13"/>
        </w:numPr>
        <w:jc w:val="left"/>
      </w:pPr>
      <w:r w:rsidRPr="00AC5579">
        <w:t>Udstille vurderingsoplysninger fra eksisterende VUR via datafordeler.</w:t>
      </w:r>
    </w:p>
    <w:p w:rsidR="007F546C" w:rsidRPr="00AC5579" w:rsidRDefault="007F546C" w:rsidP="007F546C"/>
    <w:p w:rsidR="008E79D9" w:rsidRPr="00AC5579" w:rsidRDefault="008E79D9" w:rsidP="007F546C"/>
    <w:p w:rsidR="007F546C" w:rsidRPr="00AC5579" w:rsidRDefault="007F546C" w:rsidP="007F546C">
      <w:pPr>
        <w:rPr>
          <w:b/>
        </w:rPr>
      </w:pPr>
      <w:r w:rsidRPr="00AC5579">
        <w:rPr>
          <w:b/>
        </w:rPr>
        <w:t xml:space="preserve">Resume af SKAT’s ansvar for grunddataforbedringer </w:t>
      </w:r>
    </w:p>
    <w:p w:rsidR="007F546C" w:rsidRPr="00AC5579" w:rsidRDefault="007F546C" w:rsidP="007F546C">
      <w:r w:rsidRPr="00AC5579">
        <w:t>SKAT har ingen opgaver med forbedring af grunddata.</w:t>
      </w:r>
    </w:p>
    <w:p w:rsidR="007F546C" w:rsidRPr="00AC5579" w:rsidRDefault="007F546C" w:rsidP="007F546C"/>
    <w:p w:rsidR="00C03F66" w:rsidRPr="00AC5579" w:rsidRDefault="00C03F66" w:rsidP="007F546C">
      <w:r w:rsidRPr="00AC5579">
        <w:t>Finansieringen af ovenstående håndteres uden for programmet af SKAT.</w:t>
      </w:r>
    </w:p>
    <w:p w:rsidR="007F546C" w:rsidRPr="00AC5579" w:rsidRDefault="007F546C" w:rsidP="007F546C"/>
    <w:p w:rsidR="007F546C" w:rsidRPr="00AC5579" w:rsidRDefault="007F546C" w:rsidP="00031D79">
      <w:pPr>
        <w:numPr>
          <w:ilvl w:val="0"/>
          <w:numId w:val="13"/>
        </w:numPr>
        <w:jc w:val="left"/>
      </w:pPr>
      <w:r w:rsidRPr="00AC5579">
        <w:rPr>
          <w:b/>
        </w:rPr>
        <w:t xml:space="preserve">Resume af SKATs ansvar for infrastrukturforbedringer, </w:t>
      </w:r>
      <w:r w:rsidR="00031D79">
        <w:t>n</w:t>
      </w:r>
      <w:r w:rsidR="00031D79" w:rsidRPr="00AC5579">
        <w:t xml:space="preserve">år/hvis SKAT på et senere tidspunkt beslutter at modernisere ejendomsvurderingen </w:t>
      </w:r>
      <w:r w:rsidR="00681CE8">
        <w:t>Etablering af n</w:t>
      </w:r>
      <w:r w:rsidRPr="00AC5579">
        <w:t>y</w:t>
      </w:r>
      <w:r w:rsidR="00681CE8">
        <w:t xml:space="preserve">t vurderingssystem, </w:t>
      </w:r>
      <w:r w:rsidRPr="00AC5579">
        <w:t xml:space="preserve"> der anvender harmoniserede grunddata om ejendomme og ejere fra datafordeler</w:t>
      </w:r>
      <w:r w:rsidR="00681CE8">
        <w:t xml:space="preserve"> </w:t>
      </w:r>
    </w:p>
    <w:p w:rsidR="007F546C" w:rsidRPr="00AC5579" w:rsidRDefault="007F546C" w:rsidP="008971BA">
      <w:pPr>
        <w:numPr>
          <w:ilvl w:val="0"/>
          <w:numId w:val="13"/>
        </w:numPr>
        <w:jc w:val="left"/>
      </w:pPr>
      <w:r w:rsidRPr="00AC5579">
        <w:t>Afvikling af nuværende SVUR og  VUR med hensyn til data og funktionalitet</w:t>
      </w:r>
    </w:p>
    <w:p w:rsidR="007F546C" w:rsidRPr="00AC5579" w:rsidRDefault="007F546C" w:rsidP="008971BA">
      <w:pPr>
        <w:numPr>
          <w:ilvl w:val="0"/>
          <w:numId w:val="13"/>
        </w:numPr>
        <w:jc w:val="left"/>
      </w:pPr>
      <w:r w:rsidRPr="00AC5579">
        <w:t>Afvikling af kopiregister med BBR (SKAT-BBR)</w:t>
      </w:r>
    </w:p>
    <w:p w:rsidR="007F546C" w:rsidRPr="00AC5579" w:rsidRDefault="007F546C" w:rsidP="008971BA">
      <w:pPr>
        <w:numPr>
          <w:ilvl w:val="0"/>
          <w:numId w:val="13"/>
        </w:numPr>
        <w:jc w:val="left"/>
      </w:pPr>
      <w:r w:rsidRPr="00AC5579">
        <w:t>Udstille vurderingsoplysninger fra nyt VUR via datafordeler.</w:t>
      </w:r>
    </w:p>
    <w:p w:rsidR="007F546C" w:rsidRPr="00AC5579" w:rsidRDefault="007F546C" w:rsidP="007F546C"/>
    <w:p w:rsidR="007F546C" w:rsidRPr="00AC5579" w:rsidRDefault="007F546C" w:rsidP="007F546C">
      <w:pPr>
        <w:rPr>
          <w:b/>
        </w:rPr>
      </w:pPr>
    </w:p>
    <w:p w:rsidR="007F546C" w:rsidRPr="00AC5579" w:rsidRDefault="007F546C" w:rsidP="007F546C">
      <w:pPr>
        <w:rPr>
          <w:b/>
        </w:rPr>
      </w:pPr>
      <w:r w:rsidRPr="00AC5579">
        <w:rPr>
          <w:b/>
        </w:rPr>
        <w:t>Beskrivelse af procesændringer (nye/ændrede/bortfaldne processer), hvor tidspunkt og omfang afhænger af valgt implementeringsscenarium</w:t>
      </w:r>
    </w:p>
    <w:p w:rsidR="007F546C" w:rsidRPr="00AC5579" w:rsidRDefault="00B42645" w:rsidP="007F546C">
      <w:r w:rsidRPr="00AC5579">
        <w:t xml:space="preserve">En </w:t>
      </w:r>
      <w:r w:rsidR="007F546C" w:rsidRPr="00AC5579">
        <w:t>procesanalyse har peget på, at en</w:t>
      </w:r>
      <w:r w:rsidR="00407F82">
        <w:t xml:space="preserve"> ny systemunderstøttelse af vurderingsopgaven</w:t>
      </w:r>
      <w:r w:rsidR="007F546C" w:rsidRPr="00AC5579">
        <w:t xml:space="preserve"> betyder følgende ændringer i SKATs opgaveløsning:</w:t>
      </w:r>
    </w:p>
    <w:p w:rsidR="007F546C" w:rsidRPr="00AC5579" w:rsidRDefault="007F546C" w:rsidP="008971BA">
      <w:pPr>
        <w:numPr>
          <w:ilvl w:val="0"/>
          <w:numId w:val="13"/>
        </w:numPr>
        <w:jc w:val="left"/>
      </w:pPr>
      <w:r w:rsidRPr="00AC5579">
        <w:t>Optimering af arbejdsgange som følge af ny systemunderstøttelse (nyt VUR), der udnytter adgang til grunddata om ejendomme og ejere</w:t>
      </w:r>
    </w:p>
    <w:p w:rsidR="007F546C" w:rsidRPr="00AC5579" w:rsidRDefault="007F546C" w:rsidP="008971BA">
      <w:pPr>
        <w:numPr>
          <w:ilvl w:val="1"/>
          <w:numId w:val="13"/>
        </w:numPr>
        <w:jc w:val="left"/>
      </w:pPr>
      <w:r w:rsidRPr="00AC5579">
        <w:t>Arbejdsgange vedrørende udarbejdelse af vurderingsgrundlag</w:t>
      </w:r>
    </w:p>
    <w:p w:rsidR="007F546C" w:rsidRPr="00AC5579" w:rsidRDefault="007F546C" w:rsidP="008971BA">
      <w:pPr>
        <w:numPr>
          <w:ilvl w:val="1"/>
          <w:numId w:val="13"/>
        </w:numPr>
        <w:jc w:val="left"/>
      </w:pPr>
      <w:r w:rsidRPr="00AC5579">
        <w:t>Arbejdsgange vedrørende klagebehandling</w:t>
      </w:r>
    </w:p>
    <w:p w:rsidR="005B3827" w:rsidRPr="00AC5579" w:rsidRDefault="005B3827" w:rsidP="005B3827">
      <w:pPr>
        <w:jc w:val="left"/>
      </w:pPr>
    </w:p>
    <w:p w:rsidR="007F546C" w:rsidRPr="00AC5579" w:rsidRDefault="007F546C" w:rsidP="007F546C">
      <w:pPr>
        <w:pStyle w:val="Overskrift2"/>
        <w:rPr>
          <w:lang w:val="da-DK"/>
        </w:rPr>
      </w:pPr>
      <w:bookmarkStart w:id="102" w:name="_Toc341024658"/>
      <w:bookmarkStart w:id="103" w:name="_Ref347320618"/>
      <w:r w:rsidRPr="00AC5579">
        <w:rPr>
          <w:lang w:val="da-DK"/>
        </w:rPr>
        <w:t>Domstolsstyrelsen</w:t>
      </w:r>
      <w:bookmarkEnd w:id="102"/>
      <w:bookmarkEnd w:id="103"/>
    </w:p>
    <w:p w:rsidR="007F546C" w:rsidRPr="00AC5579" w:rsidRDefault="007F546C" w:rsidP="007F546C">
      <w:r w:rsidRPr="00AC5579">
        <w:t>Resultatet af analysen af arbejdsprocesser og infrastruktur kan for Tinglysningsretten sammenfattes i følgende.</w:t>
      </w:r>
    </w:p>
    <w:p w:rsidR="007F546C" w:rsidRPr="00AC5579" w:rsidRDefault="007F546C" w:rsidP="007F546C">
      <w:pPr>
        <w:rPr>
          <w:b/>
        </w:rPr>
      </w:pPr>
    </w:p>
    <w:p w:rsidR="007F546C" w:rsidRPr="00AC5579" w:rsidRDefault="007F546C" w:rsidP="007F546C">
      <w:pPr>
        <w:rPr>
          <w:b/>
        </w:rPr>
      </w:pPr>
      <w:r w:rsidRPr="00AC5579">
        <w:rPr>
          <w:b/>
        </w:rPr>
        <w:t>Resume af Domstolsstyrelsen ansvar for infrastrukturforbedringer</w:t>
      </w:r>
    </w:p>
    <w:p w:rsidR="007F546C" w:rsidRPr="00AC5579" w:rsidRDefault="007F546C" w:rsidP="008971BA">
      <w:pPr>
        <w:numPr>
          <w:ilvl w:val="0"/>
          <w:numId w:val="16"/>
        </w:numPr>
        <w:jc w:val="left"/>
      </w:pPr>
      <w:r w:rsidRPr="00AC5579">
        <w:t>Tilpasning af tinglysningssystemet  og snitflader til at kunne modtage advis om udstilling af nye ejendomme eller ændringer af eksisterende ejendomme fra Matriklen eller præmatriklen.</w:t>
      </w:r>
      <w:r w:rsidR="00001B12">
        <w:t xml:space="preserve"> </w:t>
      </w:r>
      <w:r w:rsidR="00001B12" w:rsidRPr="00001B12">
        <w:t>Tingbogen kan allerede dette i dag</w:t>
      </w:r>
      <w:r w:rsidR="00001B12">
        <w:t>.</w:t>
      </w:r>
    </w:p>
    <w:p w:rsidR="007F546C" w:rsidRPr="00AC5579" w:rsidRDefault="007F546C" w:rsidP="008971BA">
      <w:pPr>
        <w:numPr>
          <w:ilvl w:val="0"/>
          <w:numId w:val="16"/>
        </w:numPr>
        <w:jc w:val="left"/>
      </w:pPr>
      <w:r w:rsidRPr="00AC5579">
        <w:t>Implementering af BFE-nummer og e-REF i Tingbogen.</w:t>
      </w:r>
    </w:p>
    <w:p w:rsidR="007F546C" w:rsidRPr="00AC5579" w:rsidRDefault="007F546C" w:rsidP="008971BA">
      <w:pPr>
        <w:numPr>
          <w:ilvl w:val="0"/>
          <w:numId w:val="16"/>
        </w:numPr>
        <w:jc w:val="left"/>
      </w:pPr>
      <w:r w:rsidRPr="00AC5579">
        <w:t>I tilknytning til Tingbogen etableres en Ejerfortegnelse som den autoritative fortegnelse over de faktiske ejere af fast ejendom.</w:t>
      </w:r>
    </w:p>
    <w:p w:rsidR="007F546C" w:rsidRPr="00AC5579" w:rsidRDefault="007F546C" w:rsidP="008971BA">
      <w:pPr>
        <w:numPr>
          <w:ilvl w:val="0"/>
          <w:numId w:val="16"/>
        </w:numPr>
        <w:jc w:val="left"/>
      </w:pPr>
      <w:r w:rsidRPr="00AC5579">
        <w:lastRenderedPageBreak/>
        <w:t>Tinglysningsrettens system og infrastruktur udvides med en ny ekspeditionstype til at håndtere ”ejerregistrering uden tinglysning”. Indberetning af ændringer i tinglyste og ikke tinglyste ejerforhold indberettes fremover på en ensartet måde. Ejerskifter som tinglyses registreres samtidig i Ejerfortegnelsen.</w:t>
      </w:r>
    </w:p>
    <w:p w:rsidR="007F546C" w:rsidRPr="00AC5579" w:rsidRDefault="00317325" w:rsidP="008971BA">
      <w:pPr>
        <w:numPr>
          <w:ilvl w:val="0"/>
          <w:numId w:val="16"/>
        </w:numPr>
        <w:jc w:val="left"/>
      </w:pPr>
      <w:r w:rsidRPr="00AC5579">
        <w:t xml:space="preserve">I </w:t>
      </w:r>
      <w:r w:rsidR="007F546C" w:rsidRPr="00AC5579">
        <w:t xml:space="preserve">Ejerfortegnelsen kan der til </w:t>
      </w:r>
      <w:r w:rsidRPr="00AC5579">
        <w:t xml:space="preserve">det enkelte </w:t>
      </w:r>
      <w:r w:rsidR="007F546C" w:rsidRPr="00AC5579">
        <w:t xml:space="preserve">ejerskab tilknyttes oplysninger om en evt. ejendomsadministrator. </w:t>
      </w:r>
      <w:r w:rsidRPr="00AC5579">
        <w:t>V</w:t>
      </w:r>
      <w:r w:rsidR="007F546C" w:rsidRPr="00AC5579">
        <w:t>edligeholdelse af administratoroplysningerne</w:t>
      </w:r>
      <w:r w:rsidRPr="00AC5579">
        <w:t xml:space="preserve"> kan ske løbende og uafhængigt af ejerskifte</w:t>
      </w:r>
      <w:r w:rsidR="007F546C" w:rsidRPr="00AC5579">
        <w:t>.</w:t>
      </w:r>
    </w:p>
    <w:p w:rsidR="007F546C" w:rsidRPr="00AC5579" w:rsidRDefault="007F546C" w:rsidP="008971BA">
      <w:pPr>
        <w:numPr>
          <w:ilvl w:val="0"/>
          <w:numId w:val="16"/>
        </w:numPr>
        <w:jc w:val="left"/>
      </w:pPr>
      <w:r w:rsidRPr="00AC5579">
        <w:t>I forbindelse med tinglysning indsamles samtidigt efter nærmere aftale med kommunerne og SKAT oplysninger til brug for ejendomsbeskatningen</w:t>
      </w:r>
    </w:p>
    <w:p w:rsidR="007F546C" w:rsidRPr="00AC5579" w:rsidRDefault="007F546C" w:rsidP="008971BA">
      <w:pPr>
        <w:numPr>
          <w:ilvl w:val="0"/>
          <w:numId w:val="16"/>
        </w:numPr>
        <w:jc w:val="left"/>
      </w:pPr>
      <w:r w:rsidRPr="00AC5579">
        <w:t>Skifteretten skal  i forbindelse med ejers død indberette oplysninger om konktaktperson til Ejerfortegnelsen</w:t>
      </w:r>
      <w:r w:rsidR="007E3E8C">
        <w:t xml:space="preserve"> via Tinglysningsportalen.</w:t>
      </w:r>
      <w:r w:rsidRPr="00AC5579">
        <w:t xml:space="preserve"> (her er der brug for en mekanisme, der underetter skifteretten om at afdøde var ejer af  fast ejendom)</w:t>
      </w:r>
      <w:r w:rsidR="007E3E8C">
        <w:t xml:space="preserve">. </w:t>
      </w:r>
      <w:r w:rsidR="008C2B69">
        <w:t>[der pågår undersøgelse af løsning]</w:t>
      </w:r>
    </w:p>
    <w:p w:rsidR="007F546C" w:rsidRPr="00AC5579" w:rsidRDefault="00DA7286" w:rsidP="008971BA">
      <w:pPr>
        <w:numPr>
          <w:ilvl w:val="0"/>
          <w:numId w:val="16"/>
        </w:numPr>
        <w:jc w:val="left"/>
      </w:pPr>
      <w:r w:rsidRPr="00AC5579">
        <w:t>Ejerfortegnelsens</w:t>
      </w:r>
      <w:r w:rsidR="007F546C" w:rsidRPr="00AC5579">
        <w:t xml:space="preserve"> oplysninger udstilles via datafordeler.</w:t>
      </w:r>
    </w:p>
    <w:p w:rsidR="007F546C" w:rsidRPr="00AC5579" w:rsidRDefault="007F546C" w:rsidP="007F546C">
      <w:pPr>
        <w:ind w:left="720"/>
        <w:jc w:val="left"/>
      </w:pPr>
    </w:p>
    <w:p w:rsidR="007F546C" w:rsidRPr="00AC5579" w:rsidRDefault="007F546C" w:rsidP="007F546C">
      <w:pPr>
        <w:rPr>
          <w:b/>
        </w:rPr>
      </w:pPr>
      <w:r w:rsidRPr="00AC5579">
        <w:rPr>
          <w:b/>
        </w:rPr>
        <w:t>Resume af Tinglysningsrettens ansvar for grunddataforbedringer</w:t>
      </w:r>
    </w:p>
    <w:p w:rsidR="007F546C" w:rsidRPr="00AC5579" w:rsidRDefault="00715775" w:rsidP="008971BA">
      <w:pPr>
        <w:numPr>
          <w:ilvl w:val="0"/>
          <w:numId w:val="16"/>
        </w:numPr>
        <w:jc w:val="left"/>
      </w:pPr>
      <w:r>
        <w:t>Medvirke</w:t>
      </w:r>
      <w:r w:rsidR="0083164D">
        <w:t xml:space="preserve"> og bidrage med</w:t>
      </w:r>
      <w:r w:rsidR="002357C5">
        <w:t xml:space="preserve"> data og </w:t>
      </w:r>
      <w:r w:rsidR="0083164D">
        <w:t>viden</w:t>
      </w:r>
      <w:r w:rsidR="007F546C" w:rsidRPr="00AC5579">
        <w:t xml:space="preserve"> til datavask vedr.</w:t>
      </w:r>
    </w:p>
    <w:p w:rsidR="007F546C" w:rsidRPr="00AC5579" w:rsidRDefault="007F546C" w:rsidP="008971BA">
      <w:pPr>
        <w:numPr>
          <w:ilvl w:val="1"/>
          <w:numId w:val="16"/>
        </w:numPr>
        <w:jc w:val="left"/>
      </w:pPr>
      <w:r w:rsidRPr="00AC5579">
        <w:t>Ejendomme (jordstykker, ejerlejligheder og bygning på fremmed grund)</w:t>
      </w:r>
    </w:p>
    <w:p w:rsidR="007F546C" w:rsidRPr="00AC5579" w:rsidRDefault="007F546C" w:rsidP="008971BA">
      <w:pPr>
        <w:numPr>
          <w:ilvl w:val="1"/>
          <w:numId w:val="16"/>
        </w:numPr>
        <w:jc w:val="left"/>
      </w:pPr>
      <w:r w:rsidRPr="00AC5579">
        <w:t>Ejeroplysninger</w:t>
      </w:r>
    </w:p>
    <w:p w:rsidR="007F546C" w:rsidRPr="00AC5579" w:rsidRDefault="007F546C" w:rsidP="008971BA">
      <w:pPr>
        <w:numPr>
          <w:ilvl w:val="0"/>
          <w:numId w:val="16"/>
        </w:numPr>
        <w:jc w:val="left"/>
      </w:pPr>
      <w:r w:rsidRPr="00AC5579">
        <w:t xml:space="preserve">Styringen af datavask og sammenstilling af Tingbogens og ESRs ejeroplysninger i Ejerfortegnelsen skal adresseres i aftalen om roller og ansvar mellem KL/SKAT og Tinglysningsretten. </w:t>
      </w:r>
      <w:r w:rsidR="00957E49" w:rsidRPr="00AC5579">
        <w:t>Under indkøring af Ejerfortegnelsen</w:t>
      </w:r>
      <w:r w:rsidR="00957E49">
        <w:t xml:space="preserve"> får</w:t>
      </w:r>
      <w:r w:rsidR="00957E49" w:rsidRPr="005C5F87">
        <w:t xml:space="preserve"> Tinglysningsretten </w:t>
      </w:r>
      <w:r w:rsidR="00957E49">
        <w:t>en</w:t>
      </w:r>
      <w:r w:rsidR="00957E49" w:rsidRPr="005C5F87">
        <w:t xml:space="preserve"> kontaktperson i hver kommune for afklaring af spørgsmål</w:t>
      </w:r>
    </w:p>
    <w:p w:rsidR="007F546C" w:rsidRPr="00AC5579" w:rsidRDefault="007F546C" w:rsidP="007F546C">
      <w:pPr>
        <w:jc w:val="left"/>
      </w:pPr>
    </w:p>
    <w:p w:rsidR="007F546C" w:rsidRPr="00AC5579" w:rsidRDefault="007F546C" w:rsidP="007F546C">
      <w:pPr>
        <w:spacing w:after="120"/>
      </w:pPr>
    </w:p>
    <w:p w:rsidR="007F546C" w:rsidRPr="00AC5579" w:rsidRDefault="007F546C" w:rsidP="007F546C">
      <w:pPr>
        <w:rPr>
          <w:b/>
        </w:rPr>
      </w:pPr>
      <w:r w:rsidRPr="00AC5579">
        <w:rPr>
          <w:b/>
        </w:rPr>
        <w:t>Beskrivelse af procesændringer (nye/ændrede/bortfaldne processer)</w:t>
      </w:r>
    </w:p>
    <w:p w:rsidR="007F546C" w:rsidRPr="00AC5579" w:rsidRDefault="00DA7286" w:rsidP="008971BA">
      <w:pPr>
        <w:numPr>
          <w:ilvl w:val="0"/>
          <w:numId w:val="16"/>
        </w:numPr>
        <w:jc w:val="left"/>
      </w:pPr>
      <w:r w:rsidRPr="00AC5579">
        <w:t>Tinglysningsrettens</w:t>
      </w:r>
      <w:r w:rsidR="007F546C" w:rsidRPr="00AC5579">
        <w:t xml:space="preserve"> opgaver med grundregistrering af ejendomstyperne ejerlejligheder og bygninger på fremmed grund bortfalder.</w:t>
      </w:r>
    </w:p>
    <w:p w:rsidR="007F546C" w:rsidRPr="00AC5579" w:rsidRDefault="007F546C" w:rsidP="008971BA">
      <w:pPr>
        <w:numPr>
          <w:ilvl w:val="0"/>
          <w:numId w:val="16"/>
        </w:numPr>
        <w:jc w:val="left"/>
      </w:pPr>
      <w:r w:rsidRPr="00AC5579">
        <w:t>Skifteretten skal  i forbindelse med en ejendomsejers død indberette oplysninger om konktaktperson til Ejerfortegnelsen (her er der brug for en mekanisme, der underetter skifteretten om at afdøde var ejer af  fast ejendom)</w:t>
      </w:r>
      <w:r w:rsidR="00F5346A">
        <w:rPr>
          <w:rStyle w:val="Fodnotehenvisning"/>
        </w:rPr>
        <w:footnoteReference w:id="3"/>
      </w:r>
    </w:p>
    <w:p w:rsidR="007F546C" w:rsidRPr="00AC5579" w:rsidRDefault="007F546C" w:rsidP="008971BA">
      <w:pPr>
        <w:numPr>
          <w:ilvl w:val="0"/>
          <w:numId w:val="16"/>
        </w:numPr>
        <w:jc w:val="left"/>
      </w:pPr>
      <w:r w:rsidRPr="00AC5579">
        <w:t xml:space="preserve">Fogedretterne skal i forbindelse med tvangsauktioner indberette ejerskift til tingbogen og ejerfortegnelse samt indsætte oplysninger om ejendommens administrator i </w:t>
      </w:r>
      <w:r w:rsidR="00DA7286" w:rsidRPr="00AC5579">
        <w:t>Ejerfortegnelsen</w:t>
      </w:r>
      <w:r w:rsidRPr="00AC5579">
        <w:t>.</w:t>
      </w:r>
    </w:p>
    <w:p w:rsidR="007F546C" w:rsidRPr="00AC5579" w:rsidRDefault="007F546C" w:rsidP="007F546C">
      <w:pPr>
        <w:ind w:left="360"/>
        <w:jc w:val="left"/>
      </w:pPr>
    </w:p>
    <w:p w:rsidR="007F546C" w:rsidRPr="00AC5579" w:rsidRDefault="007F546C" w:rsidP="007F546C">
      <w:pPr>
        <w:jc w:val="left"/>
      </w:pPr>
    </w:p>
    <w:p w:rsidR="007F546C" w:rsidRPr="00AC5579" w:rsidRDefault="007F546C" w:rsidP="007F546C">
      <w:pPr>
        <w:jc w:val="left"/>
      </w:pPr>
      <w:r w:rsidRPr="00AC5579">
        <w:t xml:space="preserve">Tinglysningsretten  har  planlagt et udbud på tinglysningssystemet i 2014. De funktionaliteter og tilpasninger, der følger af indeværende initiativ vil med fordel kunne koordineres og indgå i dette udbud. </w:t>
      </w:r>
    </w:p>
    <w:p w:rsidR="007F546C" w:rsidRPr="00AC5579" w:rsidRDefault="007F546C" w:rsidP="007F546C">
      <w:pPr>
        <w:pStyle w:val="Overskrift1"/>
      </w:pPr>
      <w:bookmarkStart w:id="104" w:name="_Toc333334389"/>
      <w:bookmarkStart w:id="105" w:name="_Ref333405939"/>
      <w:bookmarkStart w:id="106" w:name="_Toc341024659"/>
      <w:bookmarkStart w:id="107" w:name="_Toc317076685"/>
      <w:bookmarkStart w:id="108" w:name="_Toc317091241"/>
      <w:bookmarkEnd w:id="104"/>
      <w:r w:rsidRPr="00AC5579">
        <w:lastRenderedPageBreak/>
        <w:t>Bilag 2: Implementering</w:t>
      </w:r>
      <w:bookmarkEnd w:id="105"/>
      <w:bookmarkEnd w:id="106"/>
    </w:p>
    <w:p w:rsidR="007F546C" w:rsidRPr="00AC5579" w:rsidRDefault="007F546C" w:rsidP="007F546C">
      <w:pPr>
        <w:pStyle w:val="Overskrift2"/>
        <w:rPr>
          <w:lang w:val="da-DK"/>
        </w:rPr>
      </w:pPr>
      <w:bookmarkStart w:id="109" w:name="_Toc341024660"/>
      <w:r w:rsidRPr="00AC5579">
        <w:rPr>
          <w:lang w:val="da-DK"/>
        </w:rPr>
        <w:t>Ministeriet for By, Bolig og Landdistrikter</w:t>
      </w:r>
      <w:bookmarkEnd w:id="107"/>
      <w:bookmarkEnd w:id="108"/>
      <w:bookmarkEnd w:id="109"/>
    </w:p>
    <w:p w:rsidR="007F546C" w:rsidRPr="00AC5579" w:rsidRDefault="007F546C" w:rsidP="007F546C">
      <w:r w:rsidRPr="00AC5579">
        <w:t>MBBL har følgende opgaver i implementeringen:</w:t>
      </w:r>
    </w:p>
    <w:p w:rsidR="007F546C" w:rsidRPr="00AC5579" w:rsidRDefault="007F546C" w:rsidP="008971BA">
      <w:pPr>
        <w:numPr>
          <w:ilvl w:val="0"/>
          <w:numId w:val="21"/>
        </w:numPr>
        <w:jc w:val="left"/>
      </w:pPr>
      <w:r w:rsidRPr="00AC5579">
        <w:t xml:space="preserve">Opgaveansvar vedrørende infrastruktur- og grunddataforbedringer jf. afsnit </w:t>
      </w:r>
      <w:r w:rsidR="00DD0133">
        <w:fldChar w:fldCharType="begin"/>
      </w:r>
      <w:r w:rsidR="00DD0133">
        <w:instrText xml:space="preserve"> REF _Ref347320539 \r \h </w:instrText>
      </w:r>
      <w:r w:rsidR="00DD0133">
        <w:fldChar w:fldCharType="separate"/>
      </w:r>
      <w:r w:rsidR="0091000E">
        <w:t>8.1</w:t>
      </w:r>
      <w:r w:rsidR="00DD0133">
        <w:fldChar w:fldCharType="end"/>
      </w:r>
      <w:r w:rsidRPr="00AC5579">
        <w:t>.</w:t>
      </w:r>
    </w:p>
    <w:p w:rsidR="007F546C" w:rsidRPr="00AC5579" w:rsidRDefault="007F546C" w:rsidP="008971BA">
      <w:pPr>
        <w:numPr>
          <w:ilvl w:val="0"/>
          <w:numId w:val="21"/>
        </w:numPr>
        <w:jc w:val="left"/>
        <w:rPr>
          <w:szCs w:val="26"/>
        </w:rPr>
      </w:pPr>
      <w:r w:rsidRPr="00AC5579">
        <w:rPr>
          <w:szCs w:val="26"/>
        </w:rPr>
        <w:t>Ændringer i BBR-loven, Byggeloven og tilhørende cirkulærer og bekendtgørelser.</w:t>
      </w:r>
    </w:p>
    <w:p w:rsidR="007F546C" w:rsidRPr="00AC5579" w:rsidRDefault="007F546C" w:rsidP="008971BA">
      <w:pPr>
        <w:numPr>
          <w:ilvl w:val="0"/>
          <w:numId w:val="21"/>
        </w:numPr>
        <w:jc w:val="left"/>
        <w:rPr>
          <w:szCs w:val="26"/>
        </w:rPr>
      </w:pPr>
      <w:r w:rsidRPr="00AC5579">
        <w:rPr>
          <w:szCs w:val="26"/>
        </w:rPr>
        <w:t>Programledelse af implementering af Aftalepakke 1, jf. afsnit 5.</w:t>
      </w:r>
    </w:p>
    <w:p w:rsidR="007F546C" w:rsidRPr="00AC5579" w:rsidRDefault="007F546C" w:rsidP="008971BA">
      <w:pPr>
        <w:numPr>
          <w:ilvl w:val="0"/>
          <w:numId w:val="8"/>
        </w:numPr>
        <w:jc w:val="left"/>
        <w:rPr>
          <w:szCs w:val="26"/>
        </w:rPr>
      </w:pPr>
      <w:r w:rsidRPr="00AC5579">
        <w:rPr>
          <w:szCs w:val="26"/>
        </w:rPr>
        <w:t xml:space="preserve">I samarbejde med aftaleparterne og </w:t>
      </w:r>
      <w:r w:rsidR="00DA7286" w:rsidRPr="00AC5579">
        <w:rPr>
          <w:szCs w:val="26"/>
        </w:rPr>
        <w:t>Grunddata-bestyrelsen</w:t>
      </w:r>
      <w:r w:rsidRPr="00AC5579">
        <w:rPr>
          <w:szCs w:val="26"/>
        </w:rPr>
        <w:t xml:space="preserve"> at udarbejde en model for samordning for byg</w:t>
      </w:r>
      <w:r w:rsidR="00DA7286" w:rsidRPr="00AC5579">
        <w:rPr>
          <w:szCs w:val="26"/>
        </w:rPr>
        <w:t>nings- og ejendomsdata</w:t>
      </w:r>
      <w:r w:rsidRPr="00AC5579">
        <w:rPr>
          <w:szCs w:val="26"/>
        </w:rPr>
        <w:t xml:space="preserve">området til sikring af, at der efter programmets implementering sker de nødvendige driftsjusteringer og videreudvikling af </w:t>
      </w:r>
      <w:r w:rsidR="0000267E" w:rsidRPr="00AC5579">
        <w:rPr>
          <w:szCs w:val="26"/>
        </w:rPr>
        <w:t xml:space="preserve">den del af ejendomsområdets </w:t>
      </w:r>
      <w:r w:rsidRPr="00AC5579">
        <w:rPr>
          <w:szCs w:val="26"/>
        </w:rPr>
        <w:t>digitale infrastruktur</w:t>
      </w:r>
      <w:r w:rsidR="0000267E" w:rsidRPr="00AC5579">
        <w:rPr>
          <w:szCs w:val="26"/>
        </w:rPr>
        <w:t>, som er dækket af programmet.</w:t>
      </w:r>
    </w:p>
    <w:p w:rsidR="005B6070" w:rsidRPr="00AC5579" w:rsidRDefault="005B6070" w:rsidP="008971BA">
      <w:pPr>
        <w:numPr>
          <w:ilvl w:val="0"/>
          <w:numId w:val="8"/>
        </w:numPr>
        <w:jc w:val="left"/>
        <w:rPr>
          <w:szCs w:val="26"/>
        </w:rPr>
      </w:pPr>
      <w:r w:rsidRPr="00AC5579">
        <w:rPr>
          <w:szCs w:val="26"/>
        </w:rPr>
        <w:t>Varetager kontakten til FOT-Danmark for koordinering</w:t>
      </w:r>
      <w:r w:rsidR="00016B61" w:rsidRPr="00AC5579">
        <w:rPr>
          <w:szCs w:val="26"/>
        </w:rPr>
        <w:t xml:space="preserve"> af den fælles infrastruktur for  bygningskodning.</w:t>
      </w:r>
    </w:p>
    <w:p w:rsidR="005B6070" w:rsidRPr="00AC5579" w:rsidRDefault="00EC30BF" w:rsidP="008971BA">
      <w:pPr>
        <w:numPr>
          <w:ilvl w:val="0"/>
          <w:numId w:val="8"/>
        </w:numPr>
        <w:spacing w:after="80" w:line="280" w:lineRule="atLeast"/>
        <w:jc w:val="left"/>
      </w:pPr>
      <w:r w:rsidRPr="00AC5579">
        <w:t xml:space="preserve">Grunddata om bygninger og boliger i BBR distribueres via datafordeleren og kan frit anvendes af myndigheder og private til kommercielle og ikke-kommercielle formål. </w:t>
      </w:r>
    </w:p>
    <w:p w:rsidR="007F546C" w:rsidRPr="00AC5579" w:rsidRDefault="007F546C" w:rsidP="007F546C">
      <w:pPr>
        <w:ind w:left="720"/>
        <w:jc w:val="left"/>
        <w:rPr>
          <w:szCs w:val="26"/>
        </w:rPr>
      </w:pPr>
    </w:p>
    <w:p w:rsidR="007F546C" w:rsidRPr="00AC5579" w:rsidRDefault="007F546C" w:rsidP="007F546C">
      <w:pPr>
        <w:pStyle w:val="Overskrift2"/>
        <w:rPr>
          <w:lang w:val="da-DK"/>
        </w:rPr>
      </w:pPr>
      <w:bookmarkStart w:id="110" w:name="_Toc317091244"/>
      <w:bookmarkStart w:id="111" w:name="_Toc317076686"/>
      <w:bookmarkStart w:id="112" w:name="_Toc317091246"/>
      <w:bookmarkStart w:id="113" w:name="_Toc341024661"/>
      <w:bookmarkEnd w:id="110"/>
      <w:r w:rsidRPr="00AC5579">
        <w:rPr>
          <w:lang w:val="da-DK"/>
        </w:rPr>
        <w:t>Kommunerne</w:t>
      </w:r>
      <w:bookmarkEnd w:id="111"/>
      <w:bookmarkEnd w:id="112"/>
      <w:bookmarkEnd w:id="113"/>
    </w:p>
    <w:p w:rsidR="007F546C" w:rsidRPr="00AC5579" w:rsidRDefault="007F546C" w:rsidP="007F546C">
      <w:r w:rsidRPr="00AC5579">
        <w:t>Kommunerne har følgende opgaver i implementeringen:</w:t>
      </w:r>
    </w:p>
    <w:p w:rsidR="007F546C" w:rsidRPr="00AC5579" w:rsidRDefault="007F546C" w:rsidP="008971BA">
      <w:pPr>
        <w:numPr>
          <w:ilvl w:val="0"/>
          <w:numId w:val="20"/>
        </w:numPr>
        <w:jc w:val="left"/>
      </w:pPr>
      <w:r w:rsidRPr="00AC5579">
        <w:t xml:space="preserve">Opgaveansvar vedrørende infrastruktur- og grunddataforbedringer jf. afsnit </w:t>
      </w:r>
      <w:r w:rsidR="00DD0133">
        <w:fldChar w:fldCharType="begin"/>
      </w:r>
      <w:r w:rsidR="00DD0133">
        <w:instrText xml:space="preserve"> REF _Ref347320563 \r \h </w:instrText>
      </w:r>
      <w:r w:rsidR="00DD0133">
        <w:fldChar w:fldCharType="separate"/>
      </w:r>
      <w:r w:rsidR="0091000E">
        <w:t>8.2</w:t>
      </w:r>
      <w:r w:rsidR="00DD0133">
        <w:fldChar w:fldCharType="end"/>
      </w:r>
      <w:r w:rsidRPr="00AC5579">
        <w:t>.</w:t>
      </w:r>
    </w:p>
    <w:p w:rsidR="007F546C" w:rsidRPr="00AC5579" w:rsidRDefault="007F546C" w:rsidP="008971BA">
      <w:pPr>
        <w:numPr>
          <w:ilvl w:val="0"/>
          <w:numId w:val="20"/>
        </w:numPr>
        <w:jc w:val="left"/>
      </w:pPr>
      <w:r w:rsidRPr="00AC5579">
        <w:t>Anvendelse og understøttelse af digitale data i forbindelse med godkendelse af sag om matrikulær forandring</w:t>
      </w:r>
      <w:r w:rsidR="00DA7286" w:rsidRPr="00AC5579">
        <w:t xml:space="preserve"> eller ejerlejlighed</w:t>
      </w:r>
      <w:r w:rsidR="001663ED" w:rsidRPr="00AC5579">
        <w:t>sopdeling</w:t>
      </w:r>
      <w:r w:rsidRPr="00AC5579">
        <w:t xml:space="preserve"> (i dag kendt som kommunalbestyrelsens afgivelse af ”grøn erklæring”).</w:t>
      </w:r>
    </w:p>
    <w:p w:rsidR="007F546C" w:rsidRPr="00AC5579" w:rsidRDefault="007F546C" w:rsidP="008971BA">
      <w:pPr>
        <w:numPr>
          <w:ilvl w:val="0"/>
          <w:numId w:val="20"/>
        </w:numPr>
        <w:jc w:val="left"/>
      </w:pPr>
      <w:r w:rsidRPr="00AC5579">
        <w:t>Anvendelse af digitalt advis om ændringer i Matriklen (statusændringer) og Ejerfortegnelsen</w:t>
      </w:r>
    </w:p>
    <w:p w:rsidR="007F546C" w:rsidRPr="00AC5579" w:rsidRDefault="007F546C" w:rsidP="008971BA">
      <w:pPr>
        <w:numPr>
          <w:ilvl w:val="0"/>
          <w:numId w:val="13"/>
        </w:numPr>
        <w:jc w:val="left"/>
      </w:pPr>
      <w:r w:rsidRPr="00AC5579">
        <w:t>Organisatorisk implementering af ændret arbejdsproces i kommunen vedrørende ejendomsdannelse.</w:t>
      </w:r>
    </w:p>
    <w:p w:rsidR="007F546C" w:rsidRPr="00AC5579" w:rsidRDefault="007F546C" w:rsidP="008971BA">
      <w:pPr>
        <w:numPr>
          <w:ilvl w:val="0"/>
          <w:numId w:val="13"/>
        </w:numPr>
        <w:jc w:val="left"/>
      </w:pPr>
      <w:r w:rsidRPr="00AC5579">
        <w:t>Anvendelse af data om ejendomme og ejerforhold fra Datafordeler i egne fagsystemer.</w:t>
      </w:r>
    </w:p>
    <w:p w:rsidR="007F546C" w:rsidRPr="00AC5579" w:rsidRDefault="007F546C" w:rsidP="008971BA">
      <w:pPr>
        <w:numPr>
          <w:ilvl w:val="0"/>
          <w:numId w:val="13"/>
        </w:numPr>
        <w:jc w:val="left"/>
      </w:pPr>
      <w:r w:rsidRPr="00AC5579">
        <w:t>Anvendelse af ny systemunderstøttelse og grunddata til opgaver med kommunal ejendomsskat og bidrag</w:t>
      </w:r>
    </w:p>
    <w:p w:rsidR="007F546C" w:rsidRPr="00AC5579" w:rsidRDefault="007F546C" w:rsidP="008971BA">
      <w:pPr>
        <w:numPr>
          <w:ilvl w:val="0"/>
          <w:numId w:val="20"/>
        </w:numPr>
        <w:jc w:val="left"/>
      </w:pPr>
      <w:r w:rsidRPr="00AC5579">
        <w:t>Anvendelse af en fælles tværgående infrastruktur til geokodning af bygninger med en standardiseret proces i de tilfælde, hvor kommunen gennemfører geokodning.</w:t>
      </w:r>
    </w:p>
    <w:p w:rsidR="00DA7286" w:rsidRPr="00AC5579" w:rsidRDefault="00DA7286" w:rsidP="008971BA">
      <w:pPr>
        <w:numPr>
          <w:ilvl w:val="0"/>
          <w:numId w:val="20"/>
        </w:numPr>
        <w:jc w:val="left"/>
      </w:pPr>
      <w:r w:rsidRPr="00AC5579">
        <w:t>KL og SKAT aftaler snitflader mellem de kommunale og statslige ejendomsskattesystemer.</w:t>
      </w:r>
    </w:p>
    <w:p w:rsidR="008E79D9" w:rsidRPr="00AC5579" w:rsidRDefault="00994B07" w:rsidP="008971BA">
      <w:pPr>
        <w:numPr>
          <w:ilvl w:val="0"/>
          <w:numId w:val="20"/>
        </w:numPr>
        <w:jc w:val="left"/>
      </w:pPr>
      <w:r>
        <w:t xml:space="preserve">KL medvirker i udarbejdelse af aftale om roller og ansvar mellem KL/SKAT og Tinglysningsretten. Denne aftale skal desuden adressere styringen af datavask af ejeroplysninger samt sammenstillingen i Ejerfortegnelsen af Tingbogens og ESR’s ejeroplysninger. </w:t>
      </w:r>
    </w:p>
    <w:p w:rsidR="0000267E" w:rsidRPr="00AC5579" w:rsidRDefault="0000267E" w:rsidP="005C5F87">
      <w:pPr>
        <w:ind w:left="720"/>
        <w:jc w:val="left"/>
      </w:pPr>
      <w:r w:rsidRPr="00AC5579">
        <w:t>Under indkøring af Ejerfortegnelsen</w:t>
      </w:r>
      <w:r w:rsidR="005C5F87">
        <w:t xml:space="preserve"> får</w:t>
      </w:r>
      <w:r w:rsidR="005C5F87" w:rsidRPr="005C5F87">
        <w:t xml:space="preserve"> Tinglysningsretten </w:t>
      </w:r>
      <w:r w:rsidR="005C5F87">
        <w:t>en</w:t>
      </w:r>
      <w:r w:rsidR="005C5F87" w:rsidRPr="005C5F87">
        <w:t xml:space="preserve"> kontaktperson i hver kommune for afklaring af spørgsmål</w:t>
      </w:r>
      <w:r w:rsidRPr="00AC5579">
        <w:t xml:space="preserve"> </w:t>
      </w:r>
    </w:p>
    <w:p w:rsidR="007F546C" w:rsidRPr="00AC5579" w:rsidRDefault="007F546C" w:rsidP="007F546C"/>
    <w:p w:rsidR="007F546C" w:rsidRPr="00AC5579" w:rsidRDefault="00533A36" w:rsidP="007F546C">
      <w:pPr>
        <w:pStyle w:val="Overskrift2"/>
        <w:rPr>
          <w:lang w:val="da-DK"/>
        </w:rPr>
      </w:pPr>
      <w:r>
        <w:rPr>
          <w:lang w:val="da-DK"/>
        </w:rPr>
        <w:lastRenderedPageBreak/>
        <w:t>Geodatastyrelsen</w:t>
      </w:r>
    </w:p>
    <w:p w:rsidR="007F546C" w:rsidRPr="00AC5579" w:rsidRDefault="00533A36" w:rsidP="007F546C">
      <w:r>
        <w:t xml:space="preserve">Geodatastyrelsen </w:t>
      </w:r>
      <w:r w:rsidR="007F546C" w:rsidRPr="00AC5579">
        <w:t>har følgende opgaver i implementeringen:</w:t>
      </w:r>
    </w:p>
    <w:p w:rsidR="007F546C" w:rsidRPr="00AC5579" w:rsidRDefault="007F546C" w:rsidP="008971BA">
      <w:pPr>
        <w:numPr>
          <w:ilvl w:val="0"/>
          <w:numId w:val="13"/>
        </w:numPr>
        <w:jc w:val="left"/>
      </w:pPr>
      <w:r w:rsidRPr="00AC5579">
        <w:t xml:space="preserve">Opgaveansvar vedrørende infrastruktur- og grunddataforbedringer jf. afsnit </w:t>
      </w:r>
      <w:r w:rsidR="00DD0133">
        <w:fldChar w:fldCharType="begin"/>
      </w:r>
      <w:r w:rsidR="00DD0133">
        <w:instrText xml:space="preserve"> REF _Ref347320589 \r \h </w:instrText>
      </w:r>
      <w:r w:rsidR="00DD0133">
        <w:fldChar w:fldCharType="separate"/>
      </w:r>
      <w:r w:rsidR="0091000E">
        <w:t>8.3</w:t>
      </w:r>
      <w:r w:rsidR="00DD0133">
        <w:fldChar w:fldCharType="end"/>
      </w:r>
      <w:r w:rsidRPr="00AC5579">
        <w:t>.</w:t>
      </w:r>
    </w:p>
    <w:p w:rsidR="007F546C" w:rsidRPr="00AC5579" w:rsidRDefault="007F546C" w:rsidP="008971BA">
      <w:pPr>
        <w:numPr>
          <w:ilvl w:val="0"/>
          <w:numId w:val="13"/>
        </w:numPr>
        <w:jc w:val="left"/>
      </w:pPr>
      <w:r w:rsidRPr="00AC5579">
        <w:t>Ændring i Ejerlejlighedsloven, Tinglysningsloven og eventuelt Udstykningsloven og tilhørende cirkulærer og bekendtgørelser. F.eks.  skal Bekendtgørelse for matrikulært arbejde ændres med  krav om indsendelse til  præ-matrikel.</w:t>
      </w:r>
    </w:p>
    <w:p w:rsidR="007F546C" w:rsidRPr="00AC5579" w:rsidRDefault="007F546C" w:rsidP="008971BA">
      <w:pPr>
        <w:numPr>
          <w:ilvl w:val="0"/>
          <w:numId w:val="13"/>
        </w:numPr>
        <w:jc w:val="left"/>
      </w:pPr>
      <w:r w:rsidRPr="00AC5579">
        <w:t>Forretningsudvikling, organisatorisk og teknisk implementering i forbindelse med</w:t>
      </w:r>
    </w:p>
    <w:p w:rsidR="007F546C" w:rsidRPr="00AC5579" w:rsidRDefault="007F546C" w:rsidP="008971BA">
      <w:pPr>
        <w:numPr>
          <w:ilvl w:val="1"/>
          <w:numId w:val="13"/>
        </w:numPr>
        <w:jc w:val="left"/>
      </w:pPr>
      <w:r w:rsidRPr="00AC5579">
        <w:t>Tidlig registrering af ændringer i fast ejendom i præ-matriklen på grundlag af oplysninger fra de praktiserende landinspektører, herunder understøttelse af de praktiserende landinspektørers rolle i denne proces.</w:t>
      </w:r>
    </w:p>
    <w:p w:rsidR="007F546C" w:rsidRPr="00AC5579" w:rsidRDefault="007F546C" w:rsidP="008971BA">
      <w:pPr>
        <w:numPr>
          <w:ilvl w:val="1"/>
          <w:numId w:val="13"/>
        </w:numPr>
        <w:jc w:val="left"/>
      </w:pPr>
      <w:r w:rsidRPr="00AC5579">
        <w:t xml:space="preserve">Ændret proces for matrikulær sagsbehandling og registrering hos </w:t>
      </w:r>
      <w:r w:rsidR="00DE2785">
        <w:t>GST</w:t>
      </w:r>
      <w:r w:rsidRPr="00AC5579">
        <w:t xml:space="preserve"> ved udstykning og andre ejendomsændringer.</w:t>
      </w:r>
    </w:p>
    <w:p w:rsidR="007F546C" w:rsidRPr="00AC5579" w:rsidRDefault="007F546C" w:rsidP="008971BA">
      <w:pPr>
        <w:numPr>
          <w:ilvl w:val="1"/>
          <w:numId w:val="13"/>
        </w:numPr>
        <w:jc w:val="left"/>
      </w:pPr>
      <w:r w:rsidRPr="00AC5579">
        <w:t>Prøvelse og registrering af ejerlejligheder og bygninger på fremmed grund.</w:t>
      </w:r>
    </w:p>
    <w:p w:rsidR="007F546C" w:rsidRPr="00AC5579" w:rsidRDefault="007F546C" w:rsidP="008971BA">
      <w:pPr>
        <w:numPr>
          <w:ilvl w:val="0"/>
          <w:numId w:val="13"/>
        </w:numPr>
        <w:jc w:val="left"/>
      </w:pPr>
      <w:r w:rsidRPr="00AC5579">
        <w:t>Sikre at registreringen af de såkaldte ”afvigende” arealer (registreres i dag i ESR) fremover sker i Præ-matriklen, således at ejendomsvurderingen kan baseres på ejendommens faktiske arealer.</w:t>
      </w:r>
      <w:r w:rsidR="00583FE9">
        <w:t xml:space="preserve"> [der udestår en afklaring af hvordan ESR’s registreringer vedr. fra- og tilskyllede arealer håndteres]</w:t>
      </w:r>
    </w:p>
    <w:p w:rsidR="007F546C" w:rsidRPr="00AC5579" w:rsidRDefault="007F546C" w:rsidP="008971BA">
      <w:pPr>
        <w:numPr>
          <w:ilvl w:val="0"/>
          <w:numId w:val="13"/>
        </w:numPr>
        <w:spacing w:line="288" w:lineRule="auto"/>
        <w:jc w:val="left"/>
      </w:pPr>
      <w:r w:rsidRPr="00AC5579">
        <w:t>At koordinere datavask</w:t>
      </w:r>
      <w:r w:rsidR="008A560D">
        <w:t xml:space="preserve"> (ejerlejligheder og bygning på lejet grund)</w:t>
      </w:r>
      <w:r w:rsidRPr="00AC5579">
        <w:t xml:space="preserve"> og sikre, at den bliver gennemført på tværs af autoritative registre, systemejere og involverede aktører.</w:t>
      </w:r>
    </w:p>
    <w:p w:rsidR="00016B61" w:rsidRPr="00AC5579" w:rsidRDefault="00016B61" w:rsidP="008971BA">
      <w:pPr>
        <w:numPr>
          <w:ilvl w:val="0"/>
          <w:numId w:val="13"/>
        </w:numPr>
        <w:jc w:val="left"/>
        <w:rPr>
          <w:szCs w:val="26"/>
        </w:rPr>
      </w:pPr>
      <w:r w:rsidRPr="00AC5579">
        <w:rPr>
          <w:szCs w:val="26"/>
        </w:rPr>
        <w:t>Varetager kontakten til Praktiserende Landinspektører for koordinering af leverancer af sagsdata til registrering i Matriklen.</w:t>
      </w:r>
    </w:p>
    <w:p w:rsidR="00016B61" w:rsidRPr="00AC5579" w:rsidRDefault="00016B61" w:rsidP="008971BA">
      <w:pPr>
        <w:numPr>
          <w:ilvl w:val="0"/>
          <w:numId w:val="13"/>
        </w:numPr>
        <w:jc w:val="left"/>
        <w:rPr>
          <w:szCs w:val="26"/>
        </w:rPr>
      </w:pPr>
      <w:r w:rsidRPr="00AC5579">
        <w:rPr>
          <w:szCs w:val="26"/>
        </w:rPr>
        <w:t xml:space="preserve">Varetager kontakten til KL for koordinering af kommunerene </w:t>
      </w:r>
      <w:r w:rsidR="00927A61" w:rsidRPr="00AC5579">
        <w:rPr>
          <w:szCs w:val="26"/>
        </w:rPr>
        <w:t>i forbindelse med myndighedsbehandling af matrikulære forandringer mv. kan tilgå</w:t>
      </w:r>
      <w:r w:rsidRPr="00AC5579">
        <w:rPr>
          <w:szCs w:val="26"/>
        </w:rPr>
        <w:t xml:space="preserve"> </w:t>
      </w:r>
      <w:r w:rsidR="0017126A" w:rsidRPr="00AC5579">
        <w:rPr>
          <w:szCs w:val="26"/>
        </w:rPr>
        <w:t>sagsdata i ”præmatriklen”.</w:t>
      </w:r>
    </w:p>
    <w:p w:rsidR="00EC30BF" w:rsidRPr="00AC5579" w:rsidRDefault="00EC30BF" w:rsidP="008971BA">
      <w:pPr>
        <w:numPr>
          <w:ilvl w:val="0"/>
          <w:numId w:val="13"/>
        </w:numPr>
        <w:spacing w:after="80" w:line="280" w:lineRule="atLeast"/>
        <w:jc w:val="left"/>
      </w:pPr>
      <w:r w:rsidRPr="00AC5579">
        <w:t xml:space="preserve">Grunddata om ejendomme i Matriklen distribueres via datafordeleren og kan frit anvendes af myndigheder og private til kommercielle og ikke-kommercielle formål. </w:t>
      </w:r>
    </w:p>
    <w:p w:rsidR="007F546C" w:rsidRPr="00AC5579" w:rsidRDefault="007F546C" w:rsidP="007F546C"/>
    <w:p w:rsidR="007F546C" w:rsidRPr="00AC5579" w:rsidRDefault="007F546C" w:rsidP="007F546C">
      <w:pPr>
        <w:pStyle w:val="Overskrift2"/>
        <w:rPr>
          <w:lang w:val="da-DK"/>
        </w:rPr>
      </w:pPr>
      <w:bookmarkStart w:id="114" w:name="_Toc317091248"/>
      <w:bookmarkStart w:id="115" w:name="_Toc317091249"/>
      <w:bookmarkStart w:id="116" w:name="_Toc317076688"/>
      <w:bookmarkStart w:id="117" w:name="_Toc317091250"/>
      <w:bookmarkStart w:id="118" w:name="_Toc341024663"/>
      <w:bookmarkEnd w:id="114"/>
      <w:bookmarkEnd w:id="115"/>
      <w:r w:rsidRPr="00AC5579">
        <w:rPr>
          <w:lang w:val="da-DK"/>
        </w:rPr>
        <w:t>SKAT</w:t>
      </w:r>
      <w:bookmarkEnd w:id="116"/>
      <w:bookmarkEnd w:id="117"/>
      <w:bookmarkEnd w:id="118"/>
    </w:p>
    <w:p w:rsidR="007F546C" w:rsidRPr="00AC5579" w:rsidRDefault="007F546C" w:rsidP="007F546C">
      <w:pPr>
        <w:rPr>
          <w:b/>
        </w:rPr>
      </w:pPr>
      <w:r w:rsidRPr="00AC5579">
        <w:t xml:space="preserve">SKAT har følgende implementeringsopgaver, som skal gennemføres uafhængigt af, at SKAT moderniserer ejendomsvurderingssystemerne (jf. afsnit </w:t>
      </w:r>
      <w:r w:rsidRPr="00AC5579">
        <w:fldChar w:fldCharType="begin"/>
      </w:r>
      <w:r w:rsidRPr="00AC5579">
        <w:instrText xml:space="preserve"> REF _Ref316908183 \r \h </w:instrText>
      </w:r>
      <w:r w:rsidRPr="00AC5579">
        <w:fldChar w:fldCharType="separate"/>
      </w:r>
      <w:r w:rsidR="0091000E">
        <w:t>3.4</w:t>
      </w:r>
      <w:r w:rsidRPr="00AC5579">
        <w:fldChar w:fldCharType="end"/>
      </w:r>
      <w:r w:rsidRPr="00AC5579">
        <w:t>):</w:t>
      </w:r>
    </w:p>
    <w:p w:rsidR="007F546C" w:rsidRPr="00AC5579" w:rsidRDefault="007F546C" w:rsidP="008971BA">
      <w:pPr>
        <w:numPr>
          <w:ilvl w:val="0"/>
          <w:numId w:val="13"/>
        </w:numPr>
        <w:jc w:val="left"/>
      </w:pPr>
      <w:r w:rsidRPr="00AC5579">
        <w:t xml:space="preserve">Opgaveansvar vedrørende infrastruktur- og grunddataforbedringer jf. afsnit </w:t>
      </w:r>
      <w:r w:rsidR="00DD0133">
        <w:fldChar w:fldCharType="begin"/>
      </w:r>
      <w:r w:rsidR="00DD0133">
        <w:instrText xml:space="preserve"> REF _Ref347320603 \r \h </w:instrText>
      </w:r>
      <w:r w:rsidR="00DD0133">
        <w:fldChar w:fldCharType="separate"/>
      </w:r>
      <w:r w:rsidR="0091000E">
        <w:t>8.4</w:t>
      </w:r>
      <w:r w:rsidR="00DD0133">
        <w:fldChar w:fldCharType="end"/>
      </w:r>
      <w:r w:rsidRPr="00AC5579">
        <w:t>.</w:t>
      </w:r>
    </w:p>
    <w:p w:rsidR="007F546C" w:rsidRPr="00AC5579" w:rsidRDefault="007F546C" w:rsidP="008971BA">
      <w:pPr>
        <w:numPr>
          <w:ilvl w:val="0"/>
          <w:numId w:val="13"/>
        </w:numPr>
        <w:jc w:val="left"/>
      </w:pPr>
      <w:r w:rsidRPr="00AC5579">
        <w:t>At der er konsistens mellem kommunale ejendomsskattesystemer og de statslige ejendomsvurderingssystemer.</w:t>
      </w:r>
    </w:p>
    <w:p w:rsidR="008E79D9" w:rsidRPr="00AC5579" w:rsidRDefault="00DA7286" w:rsidP="008971BA">
      <w:pPr>
        <w:numPr>
          <w:ilvl w:val="0"/>
          <w:numId w:val="20"/>
        </w:numPr>
        <w:jc w:val="left"/>
      </w:pPr>
      <w:r w:rsidRPr="00AC5579">
        <w:t>KL og SKAT aftaler snitflader mellem de kommunale og statslige ejendomsskattesystemer.</w:t>
      </w:r>
      <w:r w:rsidR="008E79D9" w:rsidRPr="00AC5579">
        <w:t xml:space="preserve"> </w:t>
      </w:r>
    </w:p>
    <w:p w:rsidR="00EC30BF" w:rsidRPr="00AC5579" w:rsidRDefault="00374E16" w:rsidP="00994B07">
      <w:pPr>
        <w:numPr>
          <w:ilvl w:val="0"/>
          <w:numId w:val="13"/>
        </w:numPr>
        <w:spacing w:after="80" w:line="280" w:lineRule="atLeast"/>
        <w:jc w:val="left"/>
      </w:pPr>
      <w:r>
        <w:t xml:space="preserve">SKAT medvirker i udarbejdelse af aftale om roller og ansvar mellem KL/SKAT og Tinglysningsretten. Denne aftale </w:t>
      </w:r>
      <w:r w:rsidR="00994B07">
        <w:t xml:space="preserve">skal desuden </w:t>
      </w:r>
      <w:r>
        <w:t>adressere</w:t>
      </w:r>
      <w:r w:rsidR="00994B07">
        <w:t xml:space="preserve"> </w:t>
      </w:r>
      <w:r>
        <w:t>styringen af datavask af ejeroplysninger samt sammenstillingen i Ejerfortegnelsen af Tingbogens og ESR’s ejeroplysninger</w:t>
      </w:r>
      <w:r w:rsidR="00540C15">
        <w:t>.</w:t>
      </w:r>
      <w:r>
        <w:t xml:space="preserve"> </w:t>
      </w:r>
      <w:r w:rsidR="00994B07">
        <w:t xml:space="preserve">Vurderingsansættelserne </w:t>
      </w:r>
      <w:r w:rsidR="00583FE9">
        <w:t>(ikke grunddata)</w:t>
      </w:r>
      <w:r w:rsidR="00EC30BF" w:rsidRPr="00AC5579">
        <w:t xml:space="preserve"> distribueres via datafordeleren og kan frit anvendes af myndigheder og private til kommercielle og ikke-kommercielle formål.</w:t>
      </w:r>
      <w:r w:rsidR="00994B07">
        <w:t xml:space="preserve"> [Endelig afklaring heraf udestår]</w:t>
      </w:r>
      <w:r w:rsidR="00EC30BF" w:rsidRPr="00AC5579">
        <w:t xml:space="preserve"> </w:t>
      </w:r>
    </w:p>
    <w:p w:rsidR="007F546C" w:rsidRPr="00AC5579" w:rsidRDefault="007F546C" w:rsidP="007F546C">
      <w:pPr>
        <w:jc w:val="left"/>
      </w:pPr>
    </w:p>
    <w:p w:rsidR="007F546C" w:rsidRPr="00AC5579" w:rsidRDefault="007F546C" w:rsidP="007F546C">
      <w:pPr>
        <w:pStyle w:val="Overskrift2"/>
        <w:rPr>
          <w:lang w:val="da-DK"/>
        </w:rPr>
      </w:pPr>
      <w:bookmarkStart w:id="119" w:name="_Toc341024664"/>
      <w:r w:rsidRPr="00AC5579">
        <w:rPr>
          <w:lang w:val="da-DK"/>
        </w:rPr>
        <w:lastRenderedPageBreak/>
        <w:t>Domstolsstyrelsen</w:t>
      </w:r>
      <w:bookmarkEnd w:id="119"/>
    </w:p>
    <w:p w:rsidR="007F546C" w:rsidRPr="00AC5579" w:rsidRDefault="007F546C" w:rsidP="007F546C">
      <w:pPr>
        <w:jc w:val="left"/>
      </w:pPr>
      <w:r w:rsidRPr="00AC5579">
        <w:t>Domstolsstyrelsen har følgende opgaver i implementeringen:</w:t>
      </w:r>
    </w:p>
    <w:p w:rsidR="007F546C" w:rsidRPr="00AC5579" w:rsidRDefault="007F546C" w:rsidP="008971BA">
      <w:pPr>
        <w:numPr>
          <w:ilvl w:val="0"/>
          <w:numId w:val="13"/>
        </w:numPr>
        <w:jc w:val="left"/>
      </w:pPr>
      <w:r w:rsidRPr="00AC5579">
        <w:t xml:space="preserve">Opgaveansvar vedrørende infrastruktur- og grunddataforbedringer jf. afsnit </w:t>
      </w:r>
      <w:r w:rsidR="00DD0133">
        <w:fldChar w:fldCharType="begin"/>
      </w:r>
      <w:r w:rsidR="00DD0133">
        <w:instrText xml:space="preserve"> REF _Ref347320618 \r \h </w:instrText>
      </w:r>
      <w:r w:rsidR="00DD0133">
        <w:fldChar w:fldCharType="separate"/>
      </w:r>
      <w:r w:rsidR="0091000E">
        <w:t>8.5</w:t>
      </w:r>
      <w:r w:rsidR="00DD0133">
        <w:fldChar w:fldCharType="end"/>
      </w:r>
      <w:r w:rsidRPr="00AC5579">
        <w:t>.</w:t>
      </w:r>
    </w:p>
    <w:p w:rsidR="007F546C" w:rsidRPr="00AC5579" w:rsidRDefault="001663ED" w:rsidP="008971BA">
      <w:pPr>
        <w:numPr>
          <w:ilvl w:val="0"/>
          <w:numId w:val="16"/>
        </w:numPr>
        <w:jc w:val="left"/>
      </w:pPr>
      <w:r w:rsidRPr="00AC5579">
        <w:t>Foreslå</w:t>
      </w:r>
      <w:r w:rsidR="00EE788B" w:rsidRPr="00AC5579">
        <w:t>r</w:t>
      </w:r>
      <w:r w:rsidRPr="00AC5579">
        <w:t xml:space="preserve"> æ</w:t>
      </w:r>
      <w:r w:rsidR="007F546C" w:rsidRPr="00AC5579">
        <w:t>ndr</w:t>
      </w:r>
      <w:r w:rsidRPr="00AC5579">
        <w:t>inger til</w:t>
      </w:r>
      <w:r w:rsidR="007F546C" w:rsidRPr="00AC5579">
        <w:t xml:space="preserve"> Tinglysningsloven og tilhørende bekendtgørelser.</w:t>
      </w:r>
    </w:p>
    <w:p w:rsidR="007F546C" w:rsidRPr="00AC5579" w:rsidRDefault="007F546C" w:rsidP="008971BA">
      <w:pPr>
        <w:numPr>
          <w:ilvl w:val="0"/>
          <w:numId w:val="16"/>
        </w:numPr>
        <w:jc w:val="left"/>
      </w:pPr>
      <w:r w:rsidRPr="00AC5579">
        <w:t>Forretningsudvikling, organisatorisk og teknisk implementering i forbindelse med etablering af en Ejerfortegnelse, som den autoritative fortegnelse over de faktiske ejere af fast ejendom og administratorer heraf i relation til Tingbogen.</w:t>
      </w:r>
    </w:p>
    <w:p w:rsidR="007F546C" w:rsidRPr="00AC5579" w:rsidRDefault="007F546C" w:rsidP="008971BA">
      <w:pPr>
        <w:numPr>
          <w:ilvl w:val="0"/>
          <w:numId w:val="16"/>
        </w:numPr>
        <w:jc w:val="left"/>
      </w:pPr>
      <w:r w:rsidRPr="00AC5579">
        <w:t>Ansvar for at skifte- og fogedretternes implementering af en mekanisme,  der ved ejendomsejers dødsfald underetter skifteretten om at afdøde var ejer af  fast ejendom.</w:t>
      </w:r>
    </w:p>
    <w:p w:rsidR="008E79D9" w:rsidRPr="00AC5579" w:rsidRDefault="00994B07" w:rsidP="008971BA">
      <w:pPr>
        <w:numPr>
          <w:ilvl w:val="0"/>
          <w:numId w:val="16"/>
        </w:numPr>
        <w:jc w:val="left"/>
      </w:pPr>
      <w:r>
        <w:t xml:space="preserve">Tinglysningsretten medvirker i udarbejdelse af aftale om roller og ansvar mellem KL/SKAT og Tinglysningsretten. Denne aftale skal desuden adressere styringen af datavask af ejeroplysninger samt sammenstillingen i Ejerfortegnelsen af Tingbogens og ESR’s ejeroplysninger </w:t>
      </w:r>
    </w:p>
    <w:p w:rsidR="008E79D9" w:rsidRPr="00AC5579" w:rsidRDefault="008E79D9" w:rsidP="008971BA">
      <w:pPr>
        <w:numPr>
          <w:ilvl w:val="0"/>
          <w:numId w:val="16"/>
        </w:numPr>
        <w:jc w:val="left"/>
      </w:pPr>
      <w:r w:rsidRPr="00AC5579">
        <w:t xml:space="preserve">Under indkøring af Ejerfortegnelsen </w:t>
      </w:r>
      <w:r w:rsidR="008A6173">
        <w:t>får</w:t>
      </w:r>
      <w:r w:rsidR="008A6173" w:rsidRPr="005C5F87">
        <w:t xml:space="preserve"> Tinglysningsretten </w:t>
      </w:r>
      <w:r w:rsidR="008A6173">
        <w:t>en</w:t>
      </w:r>
      <w:r w:rsidR="008A6173" w:rsidRPr="005C5F87">
        <w:t xml:space="preserve"> kontaktperson i hver kommune for afklaring af spørgsmål</w:t>
      </w:r>
      <w:r w:rsidRPr="00AC5579">
        <w:t>.</w:t>
      </w:r>
    </w:p>
    <w:p w:rsidR="00EC30BF" w:rsidRPr="00AC5579" w:rsidRDefault="00EC30BF" w:rsidP="008971BA">
      <w:pPr>
        <w:numPr>
          <w:ilvl w:val="0"/>
          <w:numId w:val="16"/>
        </w:numPr>
        <w:spacing w:after="80" w:line="280" w:lineRule="atLeast"/>
        <w:jc w:val="left"/>
      </w:pPr>
      <w:r w:rsidRPr="00AC5579">
        <w:t xml:space="preserve">Grunddata i Ejerfortegnelsen distribueres via datafordeleren og kan frit anvendes af myndigheder og private til kommercielle og ikke-kommercielle formål. </w:t>
      </w:r>
    </w:p>
    <w:p w:rsidR="00EC30BF" w:rsidRPr="00AC5579" w:rsidRDefault="00EC30BF" w:rsidP="00EC30BF">
      <w:pPr>
        <w:ind w:left="360"/>
        <w:jc w:val="left"/>
      </w:pPr>
    </w:p>
    <w:p w:rsidR="007F546C" w:rsidRPr="00AC5579" w:rsidRDefault="007F546C" w:rsidP="007F546C"/>
    <w:p w:rsidR="00F8637F" w:rsidRPr="00AC5579" w:rsidRDefault="00D76D9B" w:rsidP="00D76D9B">
      <w:pPr>
        <w:pStyle w:val="Overskrift1"/>
      </w:pPr>
      <w:bookmarkStart w:id="120" w:name="_Toc341024665"/>
      <w:r w:rsidRPr="00AC5579">
        <w:lastRenderedPageBreak/>
        <w:t xml:space="preserve">Bilag </w:t>
      </w:r>
      <w:r w:rsidR="0083002B" w:rsidRPr="00AC5579">
        <w:t>3</w:t>
      </w:r>
      <w:r w:rsidRPr="00AC5579">
        <w:t>: Organisering</w:t>
      </w:r>
      <w:bookmarkEnd w:id="120"/>
    </w:p>
    <w:p w:rsidR="00D76D9B" w:rsidRPr="00AC5579" w:rsidRDefault="00D76D9B" w:rsidP="00D76D9B">
      <w:r w:rsidRPr="00AC5579">
        <w:t>Nedenstående diagram illustrerer programmets organisering. Det bemærkes at projekternes evt. styregrupper ikke er medtaget i diagrammet.</w:t>
      </w:r>
    </w:p>
    <w:p w:rsidR="00D76D9B" w:rsidRPr="00AC5579" w:rsidRDefault="00D76D9B" w:rsidP="00D76D9B"/>
    <w:p w:rsidR="0071579C" w:rsidRPr="00AC5579" w:rsidRDefault="00004409" w:rsidP="00B87B2C">
      <w:pPr>
        <w:keepNext/>
      </w:pPr>
      <w:r>
        <w:rPr>
          <w:noProof/>
        </w:rPr>
        <w:drawing>
          <wp:inline distT="0" distB="0" distL="0" distR="0" wp14:anchorId="17621A71" wp14:editId="299D10C8">
            <wp:extent cx="5400675" cy="3405808"/>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405808"/>
                    </a:xfrm>
                    <a:prstGeom prst="rect">
                      <a:avLst/>
                    </a:prstGeom>
                    <a:noFill/>
                    <a:ln>
                      <a:noFill/>
                    </a:ln>
                  </pic:spPr>
                </pic:pic>
              </a:graphicData>
            </a:graphic>
          </wp:inline>
        </w:drawing>
      </w:r>
    </w:p>
    <w:p w:rsidR="00D76D9B" w:rsidRPr="00AC5579" w:rsidRDefault="0071579C" w:rsidP="0071579C">
      <w:pPr>
        <w:pStyle w:val="Billedtekst"/>
      </w:pPr>
      <w:r w:rsidRPr="00AC5579">
        <w:t xml:space="preserve">Figur </w:t>
      </w:r>
      <w:r w:rsidR="004B01EA">
        <w:fldChar w:fldCharType="begin"/>
      </w:r>
      <w:r w:rsidR="004B01EA">
        <w:instrText xml:space="preserve"> STYLEREF 1 \s </w:instrText>
      </w:r>
      <w:r w:rsidR="004B01EA">
        <w:fldChar w:fldCharType="separate"/>
      </w:r>
      <w:r w:rsidR="0091000E">
        <w:rPr>
          <w:noProof/>
        </w:rPr>
        <w:t>10</w:t>
      </w:r>
      <w:r w:rsidR="004B01EA">
        <w:rPr>
          <w:noProof/>
        </w:rPr>
        <w:fldChar w:fldCharType="end"/>
      </w:r>
      <w:r w:rsidR="00B911E8">
        <w:noBreakHyphen/>
      </w:r>
      <w:r w:rsidR="004B01EA">
        <w:fldChar w:fldCharType="begin"/>
      </w:r>
      <w:r w:rsidR="004B01EA">
        <w:instrText xml:space="preserve"> SEQ Figur \* ARABIC \s 1 </w:instrText>
      </w:r>
      <w:r w:rsidR="004B01EA">
        <w:fldChar w:fldCharType="separate"/>
      </w:r>
      <w:r w:rsidR="0091000E">
        <w:rPr>
          <w:noProof/>
        </w:rPr>
        <w:t>1</w:t>
      </w:r>
      <w:r w:rsidR="004B01EA">
        <w:rPr>
          <w:noProof/>
        </w:rPr>
        <w:fldChar w:fldCharType="end"/>
      </w:r>
      <w:r w:rsidRPr="00AC5579">
        <w:t>: Programmets organisering</w:t>
      </w:r>
      <w:r w:rsidR="00A43517" w:rsidRPr="00AC5579">
        <w:t xml:space="preserve"> og sammenhæng til digitaliseringsstrategien og aftaleparternes projekter.</w:t>
      </w:r>
    </w:p>
    <w:p w:rsidR="00D76D9B" w:rsidRPr="00AC5579" w:rsidRDefault="00D76D9B" w:rsidP="00D76D9B"/>
    <w:p w:rsidR="00D76D9B" w:rsidRPr="00AC5579" w:rsidRDefault="00D76D9B" w:rsidP="00D76D9B">
      <w:pPr>
        <w:pStyle w:val="Overskrift2"/>
        <w:rPr>
          <w:lang w:val="da-DK"/>
        </w:rPr>
      </w:pPr>
      <w:bookmarkStart w:id="121" w:name="_Toc341024666"/>
      <w:r w:rsidRPr="00AC5579">
        <w:rPr>
          <w:lang w:val="da-DK"/>
        </w:rPr>
        <w:t>Program</w:t>
      </w:r>
      <w:r w:rsidR="00AA166C">
        <w:rPr>
          <w:lang w:val="da-DK"/>
        </w:rPr>
        <w:t>ledelse</w:t>
      </w:r>
      <w:bookmarkEnd w:id="121"/>
    </w:p>
    <w:p w:rsidR="00D76D9B" w:rsidRPr="00AC5579" w:rsidRDefault="00D76D9B" w:rsidP="00D76D9B">
      <w:r w:rsidRPr="00AC5579">
        <w:t xml:space="preserve">Programmets overordnede </w:t>
      </w:r>
      <w:r w:rsidR="00AA166C">
        <w:t>ledelse</w:t>
      </w:r>
      <w:r w:rsidRPr="00AC5579">
        <w:t xml:space="preserve"> varetages af styregruppen:</w:t>
      </w:r>
    </w:p>
    <w:p w:rsidR="00D76D9B" w:rsidRPr="00AC5579" w:rsidRDefault="00D76D9B" w:rsidP="00D76D9B"/>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40"/>
        <w:gridCol w:w="3855"/>
      </w:tblGrid>
      <w:tr w:rsidR="00D76D9B" w:rsidRPr="00AC5579" w:rsidTr="003E258E">
        <w:tc>
          <w:tcPr>
            <w:tcW w:w="1640" w:type="dxa"/>
            <w:shd w:val="clear" w:color="auto" w:fill="84929B"/>
          </w:tcPr>
          <w:p w:rsidR="00D76D9B" w:rsidRPr="00AC5579" w:rsidRDefault="00C13A1E" w:rsidP="00711018">
            <w:pPr>
              <w:pStyle w:val="MPBrdtekst"/>
              <w:jc w:val="left"/>
              <w:rPr>
                <w:rFonts w:ascii="Arial" w:hAnsi="Arial" w:cs="Arial"/>
                <w:color w:val="FFFFFF"/>
                <w:sz w:val="18"/>
                <w:szCs w:val="20"/>
              </w:rPr>
            </w:pPr>
            <w:r>
              <w:rPr>
                <w:rFonts w:ascii="Arial" w:hAnsi="Arial" w:cs="Arial"/>
                <w:color w:val="FFFFFF"/>
                <w:sz w:val="18"/>
                <w:szCs w:val="20"/>
              </w:rPr>
              <w:t>Aktør</w:t>
            </w:r>
          </w:p>
        </w:tc>
        <w:tc>
          <w:tcPr>
            <w:tcW w:w="3855" w:type="dxa"/>
            <w:shd w:val="clear" w:color="auto" w:fill="84929B"/>
            <w:vAlign w:val="center"/>
          </w:tcPr>
          <w:p w:rsidR="00D76D9B" w:rsidRPr="00AC5579" w:rsidRDefault="00D76D9B" w:rsidP="00711018">
            <w:pPr>
              <w:pStyle w:val="MPBrdtekst"/>
              <w:jc w:val="left"/>
              <w:rPr>
                <w:rFonts w:ascii="Arial" w:hAnsi="Arial" w:cs="Arial"/>
                <w:color w:val="FFFFFF"/>
                <w:sz w:val="18"/>
                <w:szCs w:val="20"/>
              </w:rPr>
            </w:pPr>
            <w:r w:rsidRPr="00AC5579">
              <w:rPr>
                <w:rFonts w:ascii="Arial" w:hAnsi="Arial" w:cs="Arial"/>
                <w:color w:val="FFFFFF"/>
                <w:sz w:val="18"/>
                <w:szCs w:val="20"/>
              </w:rPr>
              <w:t>Rolle</w:t>
            </w:r>
          </w:p>
        </w:tc>
      </w:tr>
      <w:tr w:rsidR="00D76D9B" w:rsidRPr="00AC5579" w:rsidTr="003E258E">
        <w:tc>
          <w:tcPr>
            <w:tcW w:w="1640" w:type="dxa"/>
          </w:tcPr>
          <w:p w:rsidR="00D76D9B" w:rsidRPr="00AC5579" w:rsidRDefault="00D76D9B" w:rsidP="00711018">
            <w:pPr>
              <w:rPr>
                <w:rFonts w:cs="Calibri"/>
                <w:bCs/>
                <w:sz w:val="18"/>
                <w:szCs w:val="20"/>
              </w:rPr>
            </w:pPr>
            <w:r w:rsidRPr="00AC5579">
              <w:rPr>
                <w:rFonts w:cs="Calibri"/>
                <w:bCs/>
                <w:sz w:val="18"/>
                <w:szCs w:val="20"/>
              </w:rPr>
              <w:t>MBBL</w:t>
            </w:r>
          </w:p>
        </w:tc>
        <w:tc>
          <w:tcPr>
            <w:tcW w:w="3855" w:type="dxa"/>
          </w:tcPr>
          <w:p w:rsidR="00D76D9B" w:rsidRPr="00AC5579" w:rsidRDefault="00D76D9B" w:rsidP="00711018">
            <w:pPr>
              <w:rPr>
                <w:rFonts w:cs="Calibri"/>
                <w:bCs/>
                <w:sz w:val="18"/>
                <w:szCs w:val="20"/>
              </w:rPr>
            </w:pPr>
            <w:r w:rsidRPr="00AC5579">
              <w:rPr>
                <w:rFonts w:cs="Calibri"/>
                <w:bCs/>
                <w:sz w:val="18"/>
                <w:szCs w:val="20"/>
              </w:rPr>
              <w:t>Formand /Dataleverandør (BBR)</w:t>
            </w:r>
          </w:p>
        </w:tc>
      </w:tr>
      <w:tr w:rsidR="00D76D9B" w:rsidRPr="00AC5579" w:rsidTr="003E258E">
        <w:tc>
          <w:tcPr>
            <w:tcW w:w="1640" w:type="dxa"/>
          </w:tcPr>
          <w:p w:rsidR="00D76D9B" w:rsidRPr="00AC5579" w:rsidRDefault="00D76D9B" w:rsidP="00711018">
            <w:pPr>
              <w:rPr>
                <w:rFonts w:cs="Calibri"/>
                <w:bCs/>
                <w:sz w:val="18"/>
                <w:szCs w:val="20"/>
              </w:rPr>
            </w:pPr>
            <w:r w:rsidRPr="00AC5579">
              <w:rPr>
                <w:rFonts w:cs="Calibri"/>
                <w:bCs/>
                <w:sz w:val="18"/>
                <w:szCs w:val="20"/>
              </w:rPr>
              <w:t>MBBL</w:t>
            </w:r>
          </w:p>
        </w:tc>
        <w:tc>
          <w:tcPr>
            <w:tcW w:w="3855" w:type="dxa"/>
          </w:tcPr>
          <w:p w:rsidR="00D76D9B" w:rsidRPr="00AC5579" w:rsidRDefault="00D76D9B" w:rsidP="00711018">
            <w:pPr>
              <w:rPr>
                <w:rFonts w:cs="Calibri"/>
                <w:bCs/>
                <w:sz w:val="18"/>
                <w:szCs w:val="20"/>
              </w:rPr>
            </w:pPr>
            <w:r w:rsidRPr="00AC5579">
              <w:rPr>
                <w:rFonts w:cs="Calibri"/>
                <w:bCs/>
                <w:sz w:val="18"/>
                <w:szCs w:val="20"/>
              </w:rPr>
              <w:t>Programleder</w:t>
            </w:r>
          </w:p>
        </w:tc>
      </w:tr>
      <w:tr w:rsidR="00D76D9B" w:rsidRPr="00AC5579" w:rsidTr="003E258E">
        <w:tc>
          <w:tcPr>
            <w:tcW w:w="1640" w:type="dxa"/>
          </w:tcPr>
          <w:p w:rsidR="00D76D9B" w:rsidRPr="00AC5579" w:rsidRDefault="00DE2785" w:rsidP="00711018">
            <w:pPr>
              <w:rPr>
                <w:rFonts w:cs="Calibri"/>
                <w:bCs/>
                <w:sz w:val="18"/>
                <w:szCs w:val="20"/>
              </w:rPr>
            </w:pPr>
            <w:r>
              <w:rPr>
                <w:rFonts w:cs="Calibri"/>
                <w:bCs/>
                <w:sz w:val="18"/>
                <w:szCs w:val="20"/>
              </w:rPr>
              <w:t>GST</w:t>
            </w:r>
          </w:p>
        </w:tc>
        <w:tc>
          <w:tcPr>
            <w:tcW w:w="3855" w:type="dxa"/>
          </w:tcPr>
          <w:p w:rsidR="00D76D9B" w:rsidRPr="00AC5579" w:rsidRDefault="00D76D9B" w:rsidP="00711018">
            <w:pPr>
              <w:rPr>
                <w:rFonts w:cs="Calibri"/>
                <w:bCs/>
                <w:sz w:val="18"/>
                <w:szCs w:val="20"/>
              </w:rPr>
            </w:pPr>
            <w:r w:rsidRPr="00AC5579">
              <w:rPr>
                <w:rFonts w:cs="Calibri"/>
                <w:bCs/>
                <w:sz w:val="18"/>
                <w:szCs w:val="20"/>
              </w:rPr>
              <w:t>Dataleverandør (matriklen)</w:t>
            </w:r>
          </w:p>
        </w:tc>
      </w:tr>
      <w:tr w:rsidR="00D76D9B" w:rsidRPr="00AC5579" w:rsidTr="003E258E">
        <w:tc>
          <w:tcPr>
            <w:tcW w:w="1640" w:type="dxa"/>
          </w:tcPr>
          <w:p w:rsidR="00D76D9B" w:rsidRPr="00AC5579" w:rsidRDefault="00D76D9B" w:rsidP="00711018">
            <w:pPr>
              <w:rPr>
                <w:rFonts w:cs="Calibri"/>
                <w:bCs/>
                <w:sz w:val="18"/>
                <w:szCs w:val="20"/>
              </w:rPr>
            </w:pPr>
            <w:r w:rsidRPr="00AC5579">
              <w:rPr>
                <w:rFonts w:cs="Calibri"/>
                <w:bCs/>
                <w:sz w:val="18"/>
                <w:szCs w:val="20"/>
              </w:rPr>
              <w:t>Tinglysningsretten</w:t>
            </w:r>
          </w:p>
        </w:tc>
        <w:tc>
          <w:tcPr>
            <w:tcW w:w="3855" w:type="dxa"/>
          </w:tcPr>
          <w:p w:rsidR="00D76D9B" w:rsidRPr="00AC5579" w:rsidRDefault="00D76D9B" w:rsidP="00711018">
            <w:pPr>
              <w:rPr>
                <w:rFonts w:cs="Calibri"/>
                <w:bCs/>
                <w:sz w:val="18"/>
                <w:szCs w:val="20"/>
              </w:rPr>
            </w:pPr>
            <w:r w:rsidRPr="00AC5579">
              <w:rPr>
                <w:rFonts w:cs="Calibri"/>
                <w:bCs/>
                <w:sz w:val="18"/>
                <w:szCs w:val="20"/>
              </w:rPr>
              <w:t>Dataleverandør (tingbogen</w:t>
            </w:r>
            <w:r w:rsidR="00DF2552">
              <w:rPr>
                <w:rFonts w:cs="Calibri"/>
                <w:bCs/>
                <w:sz w:val="18"/>
                <w:szCs w:val="20"/>
              </w:rPr>
              <w:t>/ejerfortegnelsen</w:t>
            </w:r>
            <w:r w:rsidRPr="00AC5579">
              <w:rPr>
                <w:rFonts w:cs="Calibri"/>
                <w:bCs/>
                <w:sz w:val="18"/>
                <w:szCs w:val="20"/>
              </w:rPr>
              <w:t>)</w:t>
            </w:r>
          </w:p>
        </w:tc>
      </w:tr>
      <w:tr w:rsidR="00D76D9B" w:rsidRPr="00AC5579" w:rsidTr="003E258E">
        <w:tc>
          <w:tcPr>
            <w:tcW w:w="1640" w:type="dxa"/>
          </w:tcPr>
          <w:p w:rsidR="00D76D9B" w:rsidRPr="00AC5579" w:rsidRDefault="00D76D9B" w:rsidP="00711018">
            <w:pPr>
              <w:pStyle w:val="MPBrdtekst"/>
              <w:rPr>
                <w:rFonts w:ascii="Calibri" w:hAnsi="Calibri" w:cs="Calibri"/>
                <w:bCs/>
                <w:sz w:val="18"/>
                <w:szCs w:val="20"/>
              </w:rPr>
            </w:pPr>
            <w:r w:rsidRPr="00AC5579">
              <w:rPr>
                <w:rFonts w:ascii="Calibri" w:hAnsi="Calibri" w:cs="Calibri"/>
                <w:bCs/>
                <w:sz w:val="18"/>
                <w:szCs w:val="20"/>
              </w:rPr>
              <w:t>DIGST</w:t>
            </w:r>
          </w:p>
        </w:tc>
        <w:tc>
          <w:tcPr>
            <w:tcW w:w="3855" w:type="dxa"/>
          </w:tcPr>
          <w:p w:rsidR="00D76D9B" w:rsidRPr="00AC5579" w:rsidRDefault="00D76D9B" w:rsidP="00711018">
            <w:pPr>
              <w:pStyle w:val="MPBrdtekst"/>
              <w:rPr>
                <w:rFonts w:ascii="Calibri" w:hAnsi="Calibri" w:cs="Calibri"/>
                <w:bCs/>
                <w:sz w:val="18"/>
                <w:szCs w:val="20"/>
              </w:rPr>
            </w:pPr>
            <w:r w:rsidRPr="00AC5579">
              <w:rPr>
                <w:rFonts w:ascii="Calibri" w:hAnsi="Calibri" w:cs="Calibri"/>
                <w:bCs/>
                <w:sz w:val="18"/>
                <w:szCs w:val="20"/>
              </w:rPr>
              <w:t>Datadistributør (datafordeler)</w:t>
            </w:r>
          </w:p>
        </w:tc>
      </w:tr>
      <w:tr w:rsidR="00D76D9B" w:rsidRPr="00AC5579" w:rsidTr="003E258E">
        <w:tc>
          <w:tcPr>
            <w:tcW w:w="1640" w:type="dxa"/>
          </w:tcPr>
          <w:p w:rsidR="00D76D9B" w:rsidRPr="00AC5579" w:rsidRDefault="00D76D9B" w:rsidP="00711018">
            <w:pPr>
              <w:pStyle w:val="MPBrdtekst"/>
              <w:rPr>
                <w:rFonts w:ascii="Calibri" w:hAnsi="Calibri" w:cs="Calibri"/>
                <w:sz w:val="18"/>
                <w:szCs w:val="20"/>
              </w:rPr>
            </w:pPr>
            <w:r w:rsidRPr="00AC5579">
              <w:rPr>
                <w:rFonts w:ascii="Calibri" w:hAnsi="Calibri" w:cs="Calibri"/>
                <w:sz w:val="18"/>
                <w:szCs w:val="20"/>
              </w:rPr>
              <w:t>KL/Kombit</w:t>
            </w:r>
          </w:p>
        </w:tc>
        <w:tc>
          <w:tcPr>
            <w:tcW w:w="3855" w:type="dxa"/>
          </w:tcPr>
          <w:p w:rsidR="00D76D9B" w:rsidRPr="00AC5579" w:rsidRDefault="00D76D9B" w:rsidP="00711018">
            <w:pPr>
              <w:pStyle w:val="MPBrdtekst"/>
              <w:rPr>
                <w:rFonts w:ascii="Calibri" w:hAnsi="Calibri" w:cs="Calibri"/>
                <w:sz w:val="18"/>
                <w:szCs w:val="20"/>
              </w:rPr>
            </w:pPr>
            <w:r w:rsidRPr="00AC5579">
              <w:rPr>
                <w:rFonts w:ascii="Calibri" w:hAnsi="Calibri" w:cs="Calibri"/>
                <w:sz w:val="18"/>
                <w:szCs w:val="20"/>
              </w:rPr>
              <w:t>Dataanvender</w:t>
            </w:r>
          </w:p>
        </w:tc>
      </w:tr>
      <w:tr w:rsidR="00C13A1E" w:rsidRPr="00C13A1E" w:rsidTr="003E258E">
        <w:tc>
          <w:tcPr>
            <w:tcW w:w="1640" w:type="dxa"/>
          </w:tcPr>
          <w:p w:rsidR="00D76D9B" w:rsidRPr="00C13A1E" w:rsidRDefault="00C13A1E" w:rsidP="00711018">
            <w:pPr>
              <w:pStyle w:val="MPBrdtekst"/>
              <w:rPr>
                <w:rFonts w:ascii="Calibri" w:hAnsi="Calibri" w:cs="Calibri"/>
                <w:sz w:val="18"/>
                <w:szCs w:val="20"/>
              </w:rPr>
            </w:pPr>
            <w:r>
              <w:rPr>
                <w:rFonts w:ascii="Calibri" w:hAnsi="Calibri" w:cs="Calibri"/>
                <w:sz w:val="18"/>
                <w:szCs w:val="20"/>
              </w:rPr>
              <w:t>SKAT</w:t>
            </w:r>
          </w:p>
        </w:tc>
        <w:tc>
          <w:tcPr>
            <w:tcW w:w="3855" w:type="dxa"/>
          </w:tcPr>
          <w:p w:rsidR="00D76D9B" w:rsidRPr="00C13A1E" w:rsidRDefault="00D76D9B" w:rsidP="00711018">
            <w:pPr>
              <w:pStyle w:val="MPBrdtekst"/>
              <w:rPr>
                <w:rFonts w:ascii="Calibri" w:hAnsi="Calibri" w:cs="Calibri"/>
                <w:sz w:val="18"/>
                <w:szCs w:val="20"/>
              </w:rPr>
            </w:pPr>
            <w:r w:rsidRPr="00C13A1E">
              <w:rPr>
                <w:rFonts w:ascii="Calibri" w:hAnsi="Calibri" w:cs="Calibri"/>
                <w:sz w:val="18"/>
                <w:szCs w:val="20"/>
              </w:rPr>
              <w:t>Dataanvender</w:t>
            </w:r>
          </w:p>
        </w:tc>
      </w:tr>
    </w:tbl>
    <w:p w:rsidR="00D76D9B" w:rsidRPr="00AC5579" w:rsidRDefault="00D76D9B" w:rsidP="00D76D9B"/>
    <w:p w:rsidR="00D76D9B" w:rsidRPr="00AC5579" w:rsidRDefault="00D76D9B" w:rsidP="00D76D9B">
      <w:r w:rsidRPr="00AC5579">
        <w:t>Styregruppeformandens opgaver er:</w:t>
      </w:r>
    </w:p>
    <w:p w:rsidR="00D76D9B" w:rsidRPr="00AC5579" w:rsidRDefault="00D76D9B" w:rsidP="008971BA">
      <w:pPr>
        <w:numPr>
          <w:ilvl w:val="0"/>
          <w:numId w:val="24"/>
        </w:numPr>
      </w:pPr>
      <w:r w:rsidRPr="00AC5579">
        <w:t>Lede styregruppemøderne.</w:t>
      </w:r>
    </w:p>
    <w:p w:rsidR="00D76D9B" w:rsidRPr="00AC5579" w:rsidRDefault="00D76D9B" w:rsidP="008971BA">
      <w:pPr>
        <w:numPr>
          <w:ilvl w:val="0"/>
          <w:numId w:val="24"/>
        </w:numPr>
      </w:pPr>
      <w:r w:rsidRPr="00AC5579">
        <w:t>Varetage programmets kontakt til Grunddatabestyrelsen.</w:t>
      </w:r>
    </w:p>
    <w:p w:rsidR="00D76D9B" w:rsidRPr="00AC5579" w:rsidRDefault="00D76D9B" w:rsidP="00D76D9B"/>
    <w:p w:rsidR="00D76D9B" w:rsidRPr="00AC5579" w:rsidRDefault="00D76D9B" w:rsidP="00D76D9B">
      <w:r w:rsidRPr="00AC5579">
        <w:lastRenderedPageBreak/>
        <w:t>Programstyregruppens opgaver er:</w:t>
      </w:r>
    </w:p>
    <w:p w:rsidR="00D76D9B" w:rsidRPr="00AC5579" w:rsidRDefault="00D76D9B" w:rsidP="008971BA">
      <w:pPr>
        <w:numPr>
          <w:ilvl w:val="0"/>
          <w:numId w:val="24"/>
        </w:numPr>
        <w:rPr>
          <w:i/>
        </w:rPr>
      </w:pPr>
      <w:r w:rsidRPr="00AC5579">
        <w:t xml:space="preserve">Overordnet ansvar for en vellykket implementering af grunddataprogrammets aftale om </w:t>
      </w:r>
      <w:r w:rsidR="007E4401">
        <w:rPr>
          <w:i/>
        </w:rPr>
        <w:t>Effektiv ejendomsforvaltning</w:t>
      </w:r>
      <w:r w:rsidRPr="00AC5579">
        <w:rPr>
          <w:i/>
        </w:rPr>
        <w:t xml:space="preserve"> og genbrug af ejendomsdata.</w:t>
      </w:r>
    </w:p>
    <w:p w:rsidR="00D76D9B" w:rsidRPr="00AC5579" w:rsidRDefault="00D76D9B" w:rsidP="008971BA">
      <w:pPr>
        <w:numPr>
          <w:ilvl w:val="0"/>
          <w:numId w:val="24"/>
        </w:numPr>
      </w:pPr>
      <w:r w:rsidRPr="00AC5579">
        <w:t>Ansvarlig for at programmet gennemføres i overensstemmelse med gældende styringsdokument og fælles implementeringsplan.</w:t>
      </w:r>
    </w:p>
    <w:p w:rsidR="00D76D9B" w:rsidRPr="00AC5579" w:rsidRDefault="00D76D9B" w:rsidP="008971BA">
      <w:pPr>
        <w:numPr>
          <w:ilvl w:val="0"/>
          <w:numId w:val="24"/>
        </w:numPr>
      </w:pPr>
      <w:r w:rsidRPr="00AC5579">
        <w:t>Godkende forslag om programændringer</w:t>
      </w:r>
      <w:r w:rsidR="0036377D" w:rsidRPr="00AC5579">
        <w:t xml:space="preserve"> og </w:t>
      </w:r>
      <w:r w:rsidR="004252A9" w:rsidRPr="00AC5579">
        <w:t xml:space="preserve">beslutte </w:t>
      </w:r>
      <w:r w:rsidR="0036377D" w:rsidRPr="00AC5579">
        <w:t>korrigerende handlinger</w:t>
      </w:r>
      <w:r w:rsidRPr="00AC5579">
        <w:t>.</w:t>
      </w:r>
    </w:p>
    <w:p w:rsidR="00D76D9B" w:rsidRPr="00AC5579" w:rsidRDefault="00D76D9B" w:rsidP="008971BA">
      <w:pPr>
        <w:numPr>
          <w:ilvl w:val="0"/>
          <w:numId w:val="24"/>
        </w:numPr>
      </w:pPr>
      <w:r w:rsidRPr="00AC5579">
        <w:t>Stille de nødvendige ressourcer til rådighed for programmet, både med hensyn til kompetencer og økonomi.</w:t>
      </w:r>
    </w:p>
    <w:p w:rsidR="004252A9" w:rsidRPr="00AC5579" w:rsidRDefault="00D76D9B" w:rsidP="008971BA">
      <w:pPr>
        <w:numPr>
          <w:ilvl w:val="0"/>
          <w:numId w:val="24"/>
        </w:numPr>
      </w:pPr>
      <w:r w:rsidRPr="00AC5579">
        <w:t>Godkende</w:t>
      </w:r>
      <w:r w:rsidR="004252A9" w:rsidRPr="00AC5579">
        <w:t xml:space="preserve">lse af og opfølgning på </w:t>
      </w:r>
      <w:r w:rsidRPr="00AC5579">
        <w:t>programmets leverancer</w:t>
      </w:r>
      <w:r w:rsidR="004252A9" w:rsidRPr="00AC5579">
        <w:t>.</w:t>
      </w:r>
    </w:p>
    <w:p w:rsidR="00D76D9B" w:rsidRPr="00AC5579" w:rsidRDefault="00D76D9B" w:rsidP="00D76D9B"/>
    <w:p w:rsidR="00D76D9B" w:rsidRPr="00AC5579" w:rsidRDefault="00D76D9B" w:rsidP="00D76D9B">
      <w:pPr>
        <w:pStyle w:val="Overskrift2"/>
        <w:rPr>
          <w:lang w:val="da-DK"/>
        </w:rPr>
      </w:pPr>
      <w:bookmarkStart w:id="122" w:name="_Toc341024667"/>
      <w:r w:rsidRPr="00AC5579">
        <w:rPr>
          <w:lang w:val="da-DK"/>
        </w:rPr>
        <w:t>Program</w:t>
      </w:r>
      <w:r w:rsidR="00AA166C">
        <w:rPr>
          <w:lang w:val="da-DK"/>
        </w:rPr>
        <w:t>styring</w:t>
      </w:r>
      <w:bookmarkEnd w:id="122"/>
    </w:p>
    <w:p w:rsidR="00D76D9B" w:rsidRPr="00AC5579" w:rsidRDefault="00D76D9B" w:rsidP="00D76D9B">
      <w:pPr>
        <w:pStyle w:val="Overskrift3"/>
      </w:pPr>
      <w:bookmarkStart w:id="123" w:name="_Toc341024668"/>
      <w:r w:rsidRPr="00AC5579">
        <w:t>Programsekretariat</w:t>
      </w:r>
      <w:bookmarkEnd w:id="123"/>
    </w:p>
    <w:p w:rsidR="00D76D9B" w:rsidRPr="00AC5579" w:rsidRDefault="00D76D9B" w:rsidP="00D76D9B">
      <w:r w:rsidRPr="00AC5579">
        <w:t>Den daglige programledelse varetages af programsekretariatet:</w:t>
      </w:r>
    </w:p>
    <w:p w:rsidR="00D76D9B" w:rsidRPr="00AC5579" w:rsidRDefault="00D76D9B" w:rsidP="00D76D9B"/>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1275"/>
      </w:tblGrid>
      <w:tr w:rsidR="00D76D9B" w:rsidRPr="00AC5579" w:rsidTr="00711018">
        <w:tc>
          <w:tcPr>
            <w:tcW w:w="1668" w:type="dxa"/>
            <w:shd w:val="clear" w:color="auto" w:fill="84929B"/>
          </w:tcPr>
          <w:p w:rsidR="00D76D9B" w:rsidRPr="00AC5579" w:rsidRDefault="00D76D9B" w:rsidP="00711018">
            <w:pPr>
              <w:pStyle w:val="MPBrdtekst"/>
              <w:jc w:val="left"/>
              <w:rPr>
                <w:rFonts w:ascii="Arial" w:hAnsi="Arial" w:cs="Arial"/>
                <w:color w:val="FFFFFF"/>
                <w:sz w:val="18"/>
                <w:szCs w:val="20"/>
              </w:rPr>
            </w:pPr>
            <w:r w:rsidRPr="00AC5579">
              <w:rPr>
                <w:rFonts w:ascii="Arial" w:hAnsi="Arial" w:cs="Arial"/>
                <w:color w:val="FFFFFF"/>
                <w:sz w:val="18"/>
                <w:szCs w:val="20"/>
              </w:rPr>
              <w:t>Aktør</w:t>
            </w:r>
          </w:p>
        </w:tc>
        <w:tc>
          <w:tcPr>
            <w:tcW w:w="1275" w:type="dxa"/>
            <w:shd w:val="clear" w:color="auto" w:fill="84929B"/>
            <w:vAlign w:val="center"/>
          </w:tcPr>
          <w:p w:rsidR="00D76D9B" w:rsidRPr="00AC5579" w:rsidRDefault="00D76D9B" w:rsidP="00711018">
            <w:pPr>
              <w:pStyle w:val="MPBrdtekst"/>
              <w:jc w:val="left"/>
              <w:rPr>
                <w:rFonts w:ascii="Arial" w:hAnsi="Arial" w:cs="Arial"/>
                <w:color w:val="FFFFFF"/>
                <w:sz w:val="18"/>
                <w:szCs w:val="20"/>
              </w:rPr>
            </w:pPr>
            <w:r w:rsidRPr="00AC5579">
              <w:rPr>
                <w:rFonts w:ascii="Arial" w:hAnsi="Arial" w:cs="Arial"/>
                <w:color w:val="FFFFFF"/>
                <w:sz w:val="18"/>
                <w:szCs w:val="20"/>
              </w:rPr>
              <w:t>Rolle</w:t>
            </w:r>
          </w:p>
        </w:tc>
      </w:tr>
      <w:tr w:rsidR="00D76D9B" w:rsidRPr="00AC5579" w:rsidTr="00711018">
        <w:tc>
          <w:tcPr>
            <w:tcW w:w="1668" w:type="dxa"/>
          </w:tcPr>
          <w:p w:rsidR="00D76D9B" w:rsidRPr="00AC5579" w:rsidRDefault="00D76D9B" w:rsidP="00711018">
            <w:pPr>
              <w:rPr>
                <w:rFonts w:cs="Calibri"/>
                <w:bCs/>
                <w:sz w:val="18"/>
                <w:szCs w:val="20"/>
              </w:rPr>
            </w:pPr>
            <w:r w:rsidRPr="00AC5579">
              <w:rPr>
                <w:rFonts w:cs="Calibri"/>
                <w:bCs/>
                <w:sz w:val="18"/>
                <w:szCs w:val="20"/>
              </w:rPr>
              <w:t>MBBL</w:t>
            </w:r>
          </w:p>
        </w:tc>
        <w:tc>
          <w:tcPr>
            <w:tcW w:w="1275" w:type="dxa"/>
          </w:tcPr>
          <w:p w:rsidR="00D76D9B" w:rsidRPr="00AC5579" w:rsidRDefault="00D76D9B" w:rsidP="00711018">
            <w:pPr>
              <w:rPr>
                <w:rFonts w:cs="Calibri"/>
                <w:bCs/>
                <w:sz w:val="18"/>
                <w:szCs w:val="20"/>
              </w:rPr>
            </w:pPr>
            <w:r w:rsidRPr="00AC5579">
              <w:rPr>
                <w:rFonts w:cs="Calibri"/>
                <w:bCs/>
                <w:sz w:val="18"/>
                <w:szCs w:val="20"/>
              </w:rPr>
              <w:t>Programleder</w:t>
            </w:r>
          </w:p>
        </w:tc>
      </w:tr>
      <w:tr w:rsidR="00D76D9B" w:rsidRPr="00AC5579" w:rsidTr="00711018">
        <w:tc>
          <w:tcPr>
            <w:tcW w:w="1668" w:type="dxa"/>
          </w:tcPr>
          <w:p w:rsidR="00D76D9B" w:rsidRPr="00AC5579" w:rsidRDefault="00D76D9B" w:rsidP="00711018">
            <w:pPr>
              <w:rPr>
                <w:rFonts w:cs="Calibri"/>
                <w:bCs/>
                <w:sz w:val="18"/>
                <w:szCs w:val="20"/>
              </w:rPr>
            </w:pPr>
            <w:r w:rsidRPr="00AC5579">
              <w:rPr>
                <w:rFonts w:cs="Calibri"/>
                <w:bCs/>
                <w:sz w:val="18"/>
                <w:szCs w:val="20"/>
              </w:rPr>
              <w:t>MBBL</w:t>
            </w:r>
          </w:p>
        </w:tc>
        <w:tc>
          <w:tcPr>
            <w:tcW w:w="1275" w:type="dxa"/>
          </w:tcPr>
          <w:p w:rsidR="00D76D9B" w:rsidRPr="00AC5579" w:rsidRDefault="00D76D9B" w:rsidP="00711018">
            <w:pPr>
              <w:rPr>
                <w:rFonts w:cs="Calibri"/>
                <w:bCs/>
                <w:sz w:val="18"/>
                <w:szCs w:val="20"/>
              </w:rPr>
            </w:pPr>
            <w:r w:rsidRPr="00AC5579">
              <w:rPr>
                <w:rFonts w:cs="Calibri"/>
                <w:bCs/>
                <w:sz w:val="18"/>
                <w:szCs w:val="20"/>
              </w:rPr>
              <w:t>Sekretær</w:t>
            </w:r>
          </w:p>
        </w:tc>
      </w:tr>
    </w:tbl>
    <w:p w:rsidR="00D76D9B" w:rsidRPr="00AC5579" w:rsidRDefault="00D76D9B" w:rsidP="00D76D9B"/>
    <w:p w:rsidR="00D76D9B" w:rsidRPr="00AC5579" w:rsidRDefault="00D76D9B" w:rsidP="00D76D9B">
      <w:r w:rsidRPr="00AC5579">
        <w:t>Programlederens opgaver er:</w:t>
      </w:r>
    </w:p>
    <w:p w:rsidR="00D76D9B" w:rsidRPr="00AC5579" w:rsidRDefault="00D76D9B" w:rsidP="008971BA">
      <w:pPr>
        <w:numPr>
          <w:ilvl w:val="0"/>
          <w:numId w:val="22"/>
        </w:numPr>
      </w:pPr>
      <w:r w:rsidRPr="00AC5579">
        <w:t>Lede programsekretariatet</w:t>
      </w:r>
    </w:p>
    <w:p w:rsidR="00D76D9B" w:rsidRPr="00AC5579" w:rsidRDefault="00D76D9B" w:rsidP="008971BA">
      <w:pPr>
        <w:numPr>
          <w:ilvl w:val="0"/>
          <w:numId w:val="22"/>
        </w:numPr>
      </w:pPr>
      <w:r w:rsidRPr="00AC5579">
        <w:t xml:space="preserve">Lede møder i </w:t>
      </w:r>
      <w:r w:rsidR="00AA3718">
        <w:t xml:space="preserve">projektforum </w:t>
      </w:r>
    </w:p>
    <w:p w:rsidR="00D76D9B" w:rsidRPr="00AC5579" w:rsidRDefault="00D76D9B" w:rsidP="008971BA">
      <w:pPr>
        <w:numPr>
          <w:ilvl w:val="0"/>
          <w:numId w:val="22"/>
        </w:numPr>
      </w:pPr>
      <w:r w:rsidRPr="00AC5579">
        <w:t xml:space="preserve">Lede møder i </w:t>
      </w:r>
      <w:r w:rsidR="00EF4644">
        <w:t>koordinationsforum</w:t>
      </w:r>
    </w:p>
    <w:p w:rsidR="00D76D9B" w:rsidRPr="00AC5579" w:rsidRDefault="00D76D9B" w:rsidP="008971BA">
      <w:pPr>
        <w:numPr>
          <w:ilvl w:val="0"/>
          <w:numId w:val="22"/>
        </w:numPr>
      </w:pPr>
      <w:r w:rsidRPr="00AC5579">
        <w:t xml:space="preserve">Deltage i </w:t>
      </w:r>
      <w:r w:rsidR="0036377D" w:rsidRPr="00AC5579">
        <w:t>program</w:t>
      </w:r>
      <w:r w:rsidRPr="00AC5579">
        <w:t>styregruppe</w:t>
      </w:r>
      <w:r w:rsidR="0036377D" w:rsidRPr="00AC5579">
        <w:t xml:space="preserve">ns </w:t>
      </w:r>
      <w:r w:rsidRPr="00AC5579">
        <w:t>møder</w:t>
      </w:r>
    </w:p>
    <w:p w:rsidR="00D76D9B" w:rsidRPr="00AC5579" w:rsidRDefault="00D76D9B" w:rsidP="008971BA">
      <w:pPr>
        <w:numPr>
          <w:ilvl w:val="0"/>
          <w:numId w:val="22"/>
        </w:numPr>
      </w:pPr>
      <w:r w:rsidRPr="00AC5579">
        <w:t xml:space="preserve">Rapportere programmets fremdrift til </w:t>
      </w:r>
      <w:r w:rsidR="000660F2" w:rsidRPr="00AC5579">
        <w:t>program</w:t>
      </w:r>
      <w:r w:rsidRPr="00AC5579">
        <w:t>styregruppen.</w:t>
      </w:r>
    </w:p>
    <w:p w:rsidR="00D76D9B" w:rsidRPr="00AC5579" w:rsidRDefault="00D76D9B" w:rsidP="00D76D9B"/>
    <w:p w:rsidR="00D76D9B" w:rsidRPr="00AC5579" w:rsidRDefault="00D76D9B" w:rsidP="00D76D9B">
      <w:r w:rsidRPr="00AC5579">
        <w:t xml:space="preserve">Programsekretariatet opgaver i forhold til </w:t>
      </w:r>
      <w:r w:rsidR="00EF4644">
        <w:rPr>
          <w:b/>
        </w:rPr>
        <w:t>programs</w:t>
      </w:r>
      <w:r w:rsidRPr="00AC5579">
        <w:rPr>
          <w:b/>
        </w:rPr>
        <w:t>tyregruppen</w:t>
      </w:r>
      <w:r w:rsidRPr="00AC5579">
        <w:t xml:space="preserve"> er:</w:t>
      </w:r>
    </w:p>
    <w:p w:rsidR="00D76D9B" w:rsidRPr="00AC5579" w:rsidRDefault="00D76D9B" w:rsidP="008971BA">
      <w:pPr>
        <w:numPr>
          <w:ilvl w:val="0"/>
          <w:numId w:val="22"/>
        </w:numPr>
      </w:pPr>
      <w:r w:rsidRPr="00AC5579">
        <w:t xml:space="preserve">Indkalde til </w:t>
      </w:r>
      <w:r w:rsidR="0036377D" w:rsidRPr="00AC5579">
        <w:t>program</w:t>
      </w:r>
      <w:r w:rsidRPr="00AC5579">
        <w:t xml:space="preserve">styregruppemøder. </w:t>
      </w:r>
    </w:p>
    <w:p w:rsidR="00D76D9B" w:rsidRPr="00AC5579" w:rsidRDefault="00D76D9B" w:rsidP="008971BA">
      <w:pPr>
        <w:numPr>
          <w:ilvl w:val="0"/>
          <w:numId w:val="22"/>
        </w:numPr>
      </w:pPr>
      <w:r w:rsidRPr="00AC5579">
        <w:t xml:space="preserve">Udarbejde referat af </w:t>
      </w:r>
      <w:r w:rsidR="0036377D" w:rsidRPr="00AC5579">
        <w:t>program</w:t>
      </w:r>
      <w:r w:rsidRPr="00AC5579">
        <w:t>styregruppemøder.</w:t>
      </w:r>
    </w:p>
    <w:p w:rsidR="00D76D9B" w:rsidRPr="00AC5579" w:rsidRDefault="00D76D9B" w:rsidP="008971BA">
      <w:pPr>
        <w:numPr>
          <w:ilvl w:val="0"/>
          <w:numId w:val="22"/>
        </w:numPr>
      </w:pPr>
      <w:r w:rsidRPr="00AC5579">
        <w:t>Lede og planlægge programmet i overensstemmelse med gældende styringsdokument.</w:t>
      </w:r>
    </w:p>
    <w:p w:rsidR="00D76D9B" w:rsidRPr="00AC5579" w:rsidRDefault="000C29EA" w:rsidP="008971BA">
      <w:pPr>
        <w:numPr>
          <w:ilvl w:val="0"/>
          <w:numId w:val="22"/>
        </w:numPr>
      </w:pPr>
      <w:r>
        <w:t>Etablering</w:t>
      </w:r>
      <w:r w:rsidR="00D76D9B" w:rsidRPr="00AC5579">
        <w:t xml:space="preserve"> og løbende vedligeholdelse af fælles implementeringsplan indeholdende den overordnede planlægning af at programmets enkelte projekter/delprojekter initieres, gennemføres og afsluttes, således at andre projekter/delprojekter, der er afhængige af deres resultater, kan iværksættes koordineret.</w:t>
      </w:r>
    </w:p>
    <w:p w:rsidR="00D76D9B" w:rsidRPr="00AC5579" w:rsidRDefault="00D76D9B" w:rsidP="008971BA">
      <w:pPr>
        <w:numPr>
          <w:ilvl w:val="0"/>
          <w:numId w:val="22"/>
        </w:numPr>
      </w:pPr>
      <w:r w:rsidRPr="00AC5579">
        <w:t>Monitorering af fremdriften af programmets projekter/delprojekter.</w:t>
      </w:r>
    </w:p>
    <w:p w:rsidR="00D76D9B" w:rsidRPr="00AC5579" w:rsidRDefault="000C29EA" w:rsidP="008971BA">
      <w:pPr>
        <w:numPr>
          <w:ilvl w:val="0"/>
          <w:numId w:val="22"/>
        </w:numPr>
      </w:pPr>
      <w:r>
        <w:t xml:space="preserve">Etablering og vedligeholdelse af </w:t>
      </w:r>
      <w:r w:rsidR="00D76D9B" w:rsidRPr="00AC5579">
        <w:t xml:space="preserve">risikovurdering af programmets </w:t>
      </w:r>
      <w:r>
        <w:t>implementering</w:t>
      </w:r>
      <w:r w:rsidR="00D76D9B" w:rsidRPr="00AC5579">
        <w:t>.</w:t>
      </w:r>
      <w:r>
        <w:t xml:space="preserve">  Risikovurderingen sker på grundlag af aftaleparterne oplysninger om projekternes fremdrift.</w:t>
      </w:r>
    </w:p>
    <w:p w:rsidR="00D76D9B" w:rsidRPr="00AC5579" w:rsidRDefault="00D76D9B" w:rsidP="008971BA">
      <w:pPr>
        <w:numPr>
          <w:ilvl w:val="0"/>
          <w:numId w:val="22"/>
        </w:numPr>
      </w:pPr>
      <w:r w:rsidRPr="00AC5579">
        <w:t>Koordinering af alle tværgående aktiviteter.</w:t>
      </w:r>
    </w:p>
    <w:p w:rsidR="00D76D9B" w:rsidRPr="00AC5579" w:rsidRDefault="00D76D9B" w:rsidP="00D76D9B"/>
    <w:p w:rsidR="00D76D9B" w:rsidRPr="00AC5579" w:rsidRDefault="00D76D9B" w:rsidP="00D76D9B">
      <w:r w:rsidRPr="00AC5579">
        <w:t xml:space="preserve">Programsekretariats opgaver i forhold til </w:t>
      </w:r>
      <w:r w:rsidR="00AA3718">
        <w:rPr>
          <w:b/>
        </w:rPr>
        <w:t xml:space="preserve">projektforum </w:t>
      </w:r>
      <w:r w:rsidRPr="00AC5579">
        <w:rPr>
          <w:b/>
        </w:rPr>
        <w:t xml:space="preserve"> </w:t>
      </w:r>
      <w:r w:rsidRPr="00AC5579">
        <w:t>er:</w:t>
      </w:r>
    </w:p>
    <w:p w:rsidR="00D76D9B" w:rsidRPr="00AC5579" w:rsidRDefault="00D76D9B" w:rsidP="008971BA">
      <w:pPr>
        <w:numPr>
          <w:ilvl w:val="0"/>
          <w:numId w:val="23"/>
        </w:numPr>
      </w:pPr>
      <w:r w:rsidRPr="00AC5579">
        <w:t xml:space="preserve">Indkalde til og facilitere møder i </w:t>
      </w:r>
      <w:r w:rsidR="00AA3718">
        <w:t>projektforum</w:t>
      </w:r>
      <w:r w:rsidRPr="00AC5579">
        <w:t>.</w:t>
      </w:r>
    </w:p>
    <w:p w:rsidR="00D76D9B" w:rsidRPr="00AC5579" w:rsidRDefault="00D76D9B" w:rsidP="008971BA">
      <w:pPr>
        <w:numPr>
          <w:ilvl w:val="0"/>
          <w:numId w:val="23"/>
        </w:numPr>
      </w:pPr>
      <w:r w:rsidRPr="00AC5579">
        <w:t>Være drivkraft i den tværgående programkoordination</w:t>
      </w:r>
    </w:p>
    <w:p w:rsidR="00D76D9B" w:rsidRDefault="00CD115A" w:rsidP="008971BA">
      <w:pPr>
        <w:numPr>
          <w:ilvl w:val="0"/>
          <w:numId w:val="23"/>
        </w:numPr>
      </w:pPr>
      <w:r>
        <w:t>Vedligeholde programmets beslutningslog</w:t>
      </w:r>
      <w:r w:rsidR="00D76D9B" w:rsidRPr="00AC5579">
        <w:t>.</w:t>
      </w:r>
    </w:p>
    <w:p w:rsidR="00CD115A" w:rsidRPr="00AC5579" w:rsidRDefault="00CD115A" w:rsidP="008971BA">
      <w:pPr>
        <w:numPr>
          <w:ilvl w:val="0"/>
          <w:numId w:val="23"/>
        </w:numPr>
      </w:pPr>
      <w:r>
        <w:t>Redigere programmets issueliste.</w:t>
      </w:r>
    </w:p>
    <w:p w:rsidR="00D76D9B" w:rsidRPr="00AC5579" w:rsidRDefault="00D76D9B" w:rsidP="008971BA">
      <w:pPr>
        <w:numPr>
          <w:ilvl w:val="0"/>
          <w:numId w:val="23"/>
        </w:numPr>
      </w:pPr>
      <w:r w:rsidRPr="00AC5579">
        <w:lastRenderedPageBreak/>
        <w:t>Udarbejde oplæg vedrørende tværgående koordineringstiltag</w:t>
      </w:r>
    </w:p>
    <w:p w:rsidR="00D76D9B" w:rsidRPr="00AC5579" w:rsidRDefault="00D76D9B" w:rsidP="008971BA">
      <w:pPr>
        <w:numPr>
          <w:ilvl w:val="0"/>
          <w:numId w:val="23"/>
        </w:numPr>
      </w:pPr>
      <w:r w:rsidRPr="00AC5579">
        <w:t>Efter behov nedsætte arbejdsgrupper til udredning af faglige problemstillinger i relation til programmets gennemførelse.</w:t>
      </w:r>
    </w:p>
    <w:p w:rsidR="00D76D9B" w:rsidRPr="00AC5579" w:rsidRDefault="00D76D9B" w:rsidP="00D76D9B"/>
    <w:p w:rsidR="00D76D9B" w:rsidRPr="00AC5579" w:rsidRDefault="00D76D9B" w:rsidP="00D76D9B">
      <w:r w:rsidRPr="00AC5579">
        <w:t xml:space="preserve">Programsekretariats opgaver i forhold til </w:t>
      </w:r>
      <w:r w:rsidRPr="00AC5579">
        <w:rPr>
          <w:b/>
        </w:rPr>
        <w:t xml:space="preserve">eksterne interessenter </w:t>
      </w:r>
      <w:r w:rsidRPr="00AC5579">
        <w:t>er:</w:t>
      </w:r>
    </w:p>
    <w:p w:rsidR="004252A9" w:rsidRPr="00AC5579" w:rsidRDefault="004252A9" w:rsidP="008971BA">
      <w:pPr>
        <w:numPr>
          <w:ilvl w:val="0"/>
          <w:numId w:val="23"/>
        </w:numPr>
      </w:pPr>
      <w:r w:rsidRPr="00AC5579">
        <w:t xml:space="preserve">Koordinere </w:t>
      </w:r>
      <w:r w:rsidR="00D76D9B" w:rsidRPr="00AC5579">
        <w:t xml:space="preserve">kommunikationen </w:t>
      </w:r>
      <w:r w:rsidRPr="00AC5579">
        <w:t xml:space="preserve">af programmet som helhed med fokus på overordnede spørgsmål. </w:t>
      </w:r>
    </w:p>
    <w:p w:rsidR="00333323" w:rsidRPr="00AC5579" w:rsidRDefault="002B10B3" w:rsidP="008971BA">
      <w:pPr>
        <w:numPr>
          <w:ilvl w:val="0"/>
          <w:numId w:val="23"/>
        </w:numPr>
      </w:pPr>
      <w:r w:rsidRPr="00AC5579">
        <w:t xml:space="preserve">Sætte rammerne for samarbejdet med eksterne parter, herunder </w:t>
      </w:r>
      <w:r w:rsidR="00B306F6">
        <w:t>koordinations-forums</w:t>
      </w:r>
      <w:r w:rsidR="00333323" w:rsidRPr="00AC5579">
        <w:t xml:space="preserve"> arbejde samt afholdelse af møder</w:t>
      </w:r>
      <w:r w:rsidR="00B306F6">
        <w:t xml:space="preserve"> med eksterne</w:t>
      </w:r>
      <w:r w:rsidR="00EF4644">
        <w:t xml:space="preserve"> interessenter</w:t>
      </w:r>
      <w:r w:rsidR="00333323" w:rsidRPr="00AC5579">
        <w:t>.</w:t>
      </w:r>
    </w:p>
    <w:p w:rsidR="00D76D9B" w:rsidRPr="00AC5579" w:rsidRDefault="00D76D9B" w:rsidP="00333323">
      <w:pPr>
        <w:ind w:left="720"/>
      </w:pPr>
    </w:p>
    <w:p w:rsidR="00D76D9B" w:rsidRPr="00AC5579" w:rsidRDefault="00AA3718" w:rsidP="00D76D9B">
      <w:pPr>
        <w:pStyle w:val="Overskrift3"/>
      </w:pPr>
      <w:bookmarkStart w:id="124" w:name="_Toc341024669"/>
      <w:r>
        <w:t>Projektforum</w:t>
      </w:r>
      <w:bookmarkEnd w:id="124"/>
      <w:r>
        <w:t xml:space="preserve"> </w:t>
      </w:r>
    </w:p>
    <w:p w:rsidR="00D76D9B" w:rsidRPr="00AC5579" w:rsidRDefault="000C29EA" w:rsidP="00D76D9B">
      <w:r>
        <w:t>Projekt</w:t>
      </w:r>
      <w:r w:rsidR="00333323" w:rsidRPr="00AC5579">
        <w:t xml:space="preserve">forum </w:t>
      </w:r>
      <w:r w:rsidR="00BA0571" w:rsidRPr="00AC5579">
        <w:t xml:space="preserve">foreslår og </w:t>
      </w:r>
      <w:r w:rsidR="00333323" w:rsidRPr="00AC5579">
        <w:t xml:space="preserve">behandler konkrete </w:t>
      </w:r>
      <w:r w:rsidR="00FC5AB3" w:rsidRPr="00AC5579">
        <w:t>program</w:t>
      </w:r>
      <w:r w:rsidR="00333323" w:rsidRPr="00AC5579">
        <w:t xml:space="preserve">initiativer </w:t>
      </w:r>
      <w:r w:rsidR="00BA0571" w:rsidRPr="00AC5579">
        <w:t xml:space="preserve">og </w:t>
      </w:r>
      <w:r w:rsidR="00D76D9B" w:rsidRPr="00AC5579">
        <w:t>koordineringstiltag</w:t>
      </w:r>
      <w:r w:rsidR="00BA0571" w:rsidRPr="00AC5579">
        <w:t>.</w:t>
      </w:r>
    </w:p>
    <w:p w:rsidR="00D76D9B" w:rsidRPr="00AC5579" w:rsidRDefault="00D76D9B" w:rsidP="00D76D9B"/>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1668"/>
        <w:gridCol w:w="2343"/>
      </w:tblGrid>
      <w:tr w:rsidR="00D76D9B" w:rsidRPr="00AC5579" w:rsidTr="003E258E">
        <w:tc>
          <w:tcPr>
            <w:tcW w:w="1668" w:type="dxa"/>
            <w:shd w:val="clear" w:color="auto" w:fill="84929B"/>
          </w:tcPr>
          <w:p w:rsidR="00D76D9B" w:rsidRPr="00AC5579" w:rsidRDefault="00D76D9B" w:rsidP="00711018">
            <w:pPr>
              <w:pStyle w:val="MPBrdtekst"/>
              <w:jc w:val="left"/>
              <w:rPr>
                <w:rFonts w:ascii="Arial" w:hAnsi="Arial" w:cs="Arial"/>
                <w:color w:val="FFFFFF"/>
                <w:sz w:val="18"/>
                <w:szCs w:val="20"/>
              </w:rPr>
            </w:pPr>
            <w:r w:rsidRPr="00AC5579">
              <w:rPr>
                <w:rFonts w:ascii="Arial" w:hAnsi="Arial" w:cs="Arial"/>
                <w:color w:val="FFFFFF"/>
                <w:sz w:val="18"/>
                <w:szCs w:val="20"/>
              </w:rPr>
              <w:t>Aktør</w:t>
            </w:r>
          </w:p>
        </w:tc>
        <w:tc>
          <w:tcPr>
            <w:tcW w:w="2343" w:type="dxa"/>
            <w:shd w:val="clear" w:color="auto" w:fill="84929B"/>
            <w:vAlign w:val="center"/>
          </w:tcPr>
          <w:p w:rsidR="00D76D9B" w:rsidRPr="00AC5579" w:rsidRDefault="00D76D9B" w:rsidP="00711018">
            <w:pPr>
              <w:pStyle w:val="MPBrdtekst"/>
              <w:jc w:val="left"/>
              <w:rPr>
                <w:rFonts w:ascii="Arial" w:hAnsi="Arial" w:cs="Arial"/>
                <w:color w:val="FFFFFF"/>
                <w:sz w:val="18"/>
                <w:szCs w:val="20"/>
              </w:rPr>
            </w:pPr>
            <w:r w:rsidRPr="00AC5579">
              <w:rPr>
                <w:rFonts w:ascii="Arial" w:hAnsi="Arial" w:cs="Arial"/>
                <w:color w:val="FFFFFF"/>
                <w:sz w:val="18"/>
                <w:szCs w:val="20"/>
              </w:rPr>
              <w:t>Rolle</w:t>
            </w:r>
          </w:p>
        </w:tc>
      </w:tr>
      <w:tr w:rsidR="00D76D9B" w:rsidRPr="00AC5579" w:rsidTr="003E258E">
        <w:tc>
          <w:tcPr>
            <w:tcW w:w="1668" w:type="dxa"/>
          </w:tcPr>
          <w:p w:rsidR="00D76D9B" w:rsidRPr="00AC5579" w:rsidRDefault="00D76D9B" w:rsidP="00711018">
            <w:pPr>
              <w:rPr>
                <w:rFonts w:cs="Calibri"/>
                <w:bCs/>
                <w:sz w:val="18"/>
                <w:szCs w:val="20"/>
              </w:rPr>
            </w:pPr>
            <w:r w:rsidRPr="00AC5579">
              <w:rPr>
                <w:rFonts w:cs="Calibri"/>
                <w:bCs/>
                <w:sz w:val="18"/>
                <w:szCs w:val="20"/>
              </w:rPr>
              <w:t>MBBL</w:t>
            </w:r>
          </w:p>
        </w:tc>
        <w:tc>
          <w:tcPr>
            <w:tcW w:w="2343" w:type="dxa"/>
          </w:tcPr>
          <w:p w:rsidR="00D76D9B" w:rsidRPr="00AC5579" w:rsidRDefault="00D76D9B" w:rsidP="00711018">
            <w:pPr>
              <w:rPr>
                <w:rFonts w:cs="Calibri"/>
                <w:bCs/>
                <w:sz w:val="18"/>
                <w:szCs w:val="20"/>
              </w:rPr>
            </w:pPr>
            <w:r w:rsidRPr="00AC5579">
              <w:rPr>
                <w:rFonts w:cs="Calibri"/>
                <w:bCs/>
                <w:sz w:val="18"/>
                <w:szCs w:val="20"/>
              </w:rPr>
              <w:t>Programleder</w:t>
            </w:r>
          </w:p>
        </w:tc>
      </w:tr>
      <w:tr w:rsidR="00D76D9B" w:rsidRPr="00AC5579" w:rsidTr="003E258E">
        <w:tc>
          <w:tcPr>
            <w:tcW w:w="1668" w:type="dxa"/>
          </w:tcPr>
          <w:p w:rsidR="00D76D9B" w:rsidRPr="00AC5579" w:rsidRDefault="00D76D9B" w:rsidP="00711018">
            <w:pPr>
              <w:rPr>
                <w:rFonts w:cs="Calibri"/>
                <w:bCs/>
                <w:sz w:val="18"/>
                <w:szCs w:val="20"/>
              </w:rPr>
            </w:pPr>
            <w:r w:rsidRPr="00AC5579">
              <w:rPr>
                <w:rFonts w:cs="Calibri"/>
                <w:bCs/>
                <w:sz w:val="18"/>
                <w:szCs w:val="20"/>
              </w:rPr>
              <w:t>MBBL</w:t>
            </w:r>
          </w:p>
        </w:tc>
        <w:tc>
          <w:tcPr>
            <w:tcW w:w="2343" w:type="dxa"/>
          </w:tcPr>
          <w:p w:rsidR="00D76D9B" w:rsidRPr="00AC5579" w:rsidRDefault="00D76D9B" w:rsidP="00711018">
            <w:pPr>
              <w:rPr>
                <w:rFonts w:cs="Calibri"/>
                <w:bCs/>
                <w:sz w:val="18"/>
                <w:szCs w:val="20"/>
              </w:rPr>
            </w:pPr>
            <w:r w:rsidRPr="00AC5579">
              <w:rPr>
                <w:rFonts w:cs="Calibri"/>
                <w:bCs/>
                <w:sz w:val="18"/>
                <w:szCs w:val="20"/>
              </w:rPr>
              <w:t>Sekretær</w:t>
            </w:r>
          </w:p>
        </w:tc>
      </w:tr>
      <w:tr w:rsidR="00D76D9B" w:rsidRPr="00AC5579" w:rsidTr="003E258E">
        <w:tc>
          <w:tcPr>
            <w:tcW w:w="1668" w:type="dxa"/>
          </w:tcPr>
          <w:p w:rsidR="00D76D9B" w:rsidRPr="00AC5579" w:rsidRDefault="00D76D9B" w:rsidP="00711018">
            <w:pPr>
              <w:rPr>
                <w:rFonts w:cs="Calibri"/>
                <w:bCs/>
                <w:sz w:val="18"/>
                <w:szCs w:val="20"/>
              </w:rPr>
            </w:pPr>
            <w:r w:rsidRPr="00AC5579">
              <w:rPr>
                <w:rFonts w:cs="Calibri"/>
                <w:bCs/>
                <w:sz w:val="18"/>
                <w:szCs w:val="20"/>
              </w:rPr>
              <w:t>MBBL</w:t>
            </w:r>
          </w:p>
        </w:tc>
        <w:tc>
          <w:tcPr>
            <w:tcW w:w="2343" w:type="dxa"/>
          </w:tcPr>
          <w:p w:rsidR="00D76D9B" w:rsidRPr="00AC5579" w:rsidRDefault="00D76D9B" w:rsidP="00711018">
            <w:pPr>
              <w:rPr>
                <w:rFonts w:cs="Calibri"/>
                <w:bCs/>
                <w:sz w:val="18"/>
                <w:szCs w:val="20"/>
              </w:rPr>
            </w:pPr>
            <w:r w:rsidRPr="00AC5579">
              <w:rPr>
                <w:rFonts w:cs="Calibri"/>
                <w:bCs/>
                <w:sz w:val="18"/>
                <w:szCs w:val="20"/>
              </w:rPr>
              <w:t>Projektrepræsentant</w:t>
            </w:r>
          </w:p>
          <w:p w:rsidR="00D76D9B" w:rsidRPr="00AC5579" w:rsidRDefault="00D76D9B" w:rsidP="00711018">
            <w:pPr>
              <w:rPr>
                <w:rFonts w:cs="Calibri"/>
                <w:bCs/>
                <w:sz w:val="18"/>
                <w:szCs w:val="20"/>
              </w:rPr>
            </w:pPr>
            <w:r w:rsidRPr="00AC5579">
              <w:rPr>
                <w:rFonts w:cs="Calibri"/>
                <w:bCs/>
                <w:sz w:val="18"/>
                <w:szCs w:val="20"/>
              </w:rPr>
              <w:t>BBR</w:t>
            </w:r>
          </w:p>
        </w:tc>
      </w:tr>
      <w:tr w:rsidR="00D76D9B" w:rsidRPr="00AC5579" w:rsidTr="003E258E">
        <w:tc>
          <w:tcPr>
            <w:tcW w:w="1668" w:type="dxa"/>
          </w:tcPr>
          <w:p w:rsidR="00D76D9B" w:rsidRPr="00AC5579" w:rsidRDefault="00DE2785" w:rsidP="00711018">
            <w:pPr>
              <w:rPr>
                <w:rFonts w:cs="Calibri"/>
                <w:bCs/>
                <w:sz w:val="18"/>
                <w:szCs w:val="20"/>
              </w:rPr>
            </w:pPr>
            <w:r>
              <w:rPr>
                <w:rFonts w:cs="Calibri"/>
                <w:bCs/>
                <w:sz w:val="18"/>
                <w:szCs w:val="20"/>
              </w:rPr>
              <w:t>GST</w:t>
            </w:r>
          </w:p>
        </w:tc>
        <w:tc>
          <w:tcPr>
            <w:tcW w:w="2343" w:type="dxa"/>
          </w:tcPr>
          <w:p w:rsidR="00D76D9B" w:rsidRPr="00AC5579" w:rsidRDefault="00D76D9B" w:rsidP="00711018">
            <w:pPr>
              <w:rPr>
                <w:rFonts w:cs="Calibri"/>
                <w:bCs/>
                <w:sz w:val="18"/>
                <w:szCs w:val="20"/>
              </w:rPr>
            </w:pPr>
            <w:r w:rsidRPr="00AC5579">
              <w:rPr>
                <w:rFonts w:cs="Calibri"/>
                <w:bCs/>
                <w:sz w:val="18"/>
                <w:szCs w:val="20"/>
              </w:rPr>
              <w:t>Projektrepræsentant</w:t>
            </w:r>
          </w:p>
          <w:p w:rsidR="00D76D9B" w:rsidRPr="00AC5579" w:rsidRDefault="00D76D9B" w:rsidP="00711018">
            <w:pPr>
              <w:rPr>
                <w:rFonts w:cs="Calibri"/>
                <w:bCs/>
                <w:sz w:val="18"/>
                <w:szCs w:val="20"/>
              </w:rPr>
            </w:pPr>
            <w:r w:rsidRPr="00AC5579">
              <w:rPr>
                <w:rFonts w:cs="Calibri"/>
                <w:bCs/>
                <w:sz w:val="18"/>
                <w:szCs w:val="20"/>
              </w:rPr>
              <w:t>Matriklen</w:t>
            </w:r>
          </w:p>
        </w:tc>
      </w:tr>
      <w:tr w:rsidR="00D76D9B" w:rsidRPr="00AC5579" w:rsidTr="003E258E">
        <w:tc>
          <w:tcPr>
            <w:tcW w:w="1668" w:type="dxa"/>
          </w:tcPr>
          <w:p w:rsidR="00D76D9B" w:rsidRPr="00AC5579" w:rsidRDefault="00D76D9B" w:rsidP="00711018">
            <w:pPr>
              <w:rPr>
                <w:rFonts w:cs="Calibri"/>
                <w:bCs/>
                <w:sz w:val="18"/>
                <w:szCs w:val="20"/>
              </w:rPr>
            </w:pPr>
            <w:r w:rsidRPr="00AC5579">
              <w:rPr>
                <w:rFonts w:cs="Calibri"/>
                <w:bCs/>
                <w:sz w:val="18"/>
                <w:szCs w:val="20"/>
              </w:rPr>
              <w:t>Tinglysningsretten</w:t>
            </w:r>
          </w:p>
        </w:tc>
        <w:tc>
          <w:tcPr>
            <w:tcW w:w="2343" w:type="dxa"/>
          </w:tcPr>
          <w:p w:rsidR="00D76D9B" w:rsidRPr="00AC5579" w:rsidRDefault="00D76D9B" w:rsidP="00711018">
            <w:pPr>
              <w:rPr>
                <w:rFonts w:cs="Calibri"/>
                <w:bCs/>
                <w:sz w:val="18"/>
                <w:szCs w:val="20"/>
              </w:rPr>
            </w:pPr>
            <w:r w:rsidRPr="00AC5579">
              <w:rPr>
                <w:rFonts w:cs="Calibri"/>
                <w:bCs/>
                <w:sz w:val="18"/>
                <w:szCs w:val="20"/>
              </w:rPr>
              <w:t>Projektrepræsentant</w:t>
            </w:r>
          </w:p>
          <w:p w:rsidR="00D76D9B" w:rsidRPr="00AC5579" w:rsidRDefault="00D76D9B" w:rsidP="00711018">
            <w:pPr>
              <w:rPr>
                <w:rFonts w:cs="Calibri"/>
                <w:bCs/>
                <w:sz w:val="18"/>
                <w:szCs w:val="20"/>
              </w:rPr>
            </w:pPr>
            <w:r w:rsidRPr="00AC5579">
              <w:rPr>
                <w:rFonts w:cs="Calibri"/>
                <w:bCs/>
                <w:sz w:val="18"/>
                <w:szCs w:val="20"/>
              </w:rPr>
              <w:t>Tingbogen</w:t>
            </w:r>
            <w:r w:rsidR="00DF2552">
              <w:rPr>
                <w:rFonts w:cs="Calibri"/>
                <w:bCs/>
                <w:sz w:val="18"/>
                <w:szCs w:val="20"/>
              </w:rPr>
              <w:t>/Ejerfortegnelsen</w:t>
            </w:r>
          </w:p>
        </w:tc>
      </w:tr>
      <w:tr w:rsidR="00D76D9B" w:rsidRPr="00AC5579" w:rsidTr="003E258E">
        <w:tc>
          <w:tcPr>
            <w:tcW w:w="1668" w:type="dxa"/>
          </w:tcPr>
          <w:p w:rsidR="00D76D9B" w:rsidRPr="00AC5579" w:rsidRDefault="00D76D9B" w:rsidP="00711018">
            <w:pPr>
              <w:rPr>
                <w:rFonts w:cs="Calibri"/>
                <w:bCs/>
                <w:sz w:val="18"/>
                <w:szCs w:val="20"/>
              </w:rPr>
            </w:pPr>
            <w:r w:rsidRPr="00AC5579">
              <w:rPr>
                <w:rFonts w:cs="Calibri"/>
                <w:bCs/>
                <w:sz w:val="18"/>
                <w:szCs w:val="20"/>
              </w:rPr>
              <w:t>KL/Kombit</w:t>
            </w:r>
          </w:p>
        </w:tc>
        <w:tc>
          <w:tcPr>
            <w:tcW w:w="2343" w:type="dxa"/>
          </w:tcPr>
          <w:p w:rsidR="00D76D9B" w:rsidRPr="00AC5579" w:rsidRDefault="00EF4644" w:rsidP="00711018">
            <w:pPr>
              <w:rPr>
                <w:rFonts w:cs="Calibri"/>
                <w:bCs/>
                <w:sz w:val="18"/>
                <w:szCs w:val="20"/>
              </w:rPr>
            </w:pPr>
            <w:r>
              <w:rPr>
                <w:rFonts w:cs="Calibri"/>
                <w:bCs/>
                <w:sz w:val="18"/>
                <w:szCs w:val="20"/>
              </w:rPr>
              <w:t>Dataanvender</w:t>
            </w:r>
          </w:p>
          <w:p w:rsidR="00D76D9B" w:rsidRPr="00AC5579" w:rsidRDefault="00D76D9B" w:rsidP="00711018">
            <w:pPr>
              <w:rPr>
                <w:rFonts w:cs="Calibri"/>
                <w:bCs/>
                <w:sz w:val="18"/>
                <w:szCs w:val="20"/>
              </w:rPr>
            </w:pPr>
          </w:p>
        </w:tc>
      </w:tr>
      <w:tr w:rsidR="00D76D9B" w:rsidRPr="00AC5579" w:rsidTr="003E258E">
        <w:tc>
          <w:tcPr>
            <w:tcW w:w="1668" w:type="dxa"/>
          </w:tcPr>
          <w:p w:rsidR="00D76D9B" w:rsidRPr="00AC5579" w:rsidRDefault="00D76D9B" w:rsidP="00711018">
            <w:pPr>
              <w:rPr>
                <w:rFonts w:cs="Calibri"/>
                <w:bCs/>
                <w:sz w:val="18"/>
                <w:szCs w:val="20"/>
              </w:rPr>
            </w:pPr>
            <w:r w:rsidRPr="00AC5579">
              <w:rPr>
                <w:rFonts w:cs="Calibri"/>
                <w:bCs/>
                <w:sz w:val="18"/>
                <w:szCs w:val="20"/>
              </w:rPr>
              <w:t>SKAT</w:t>
            </w:r>
          </w:p>
        </w:tc>
        <w:tc>
          <w:tcPr>
            <w:tcW w:w="2343" w:type="dxa"/>
          </w:tcPr>
          <w:p w:rsidR="00D76D9B" w:rsidRPr="00AC5579" w:rsidRDefault="00EF4644" w:rsidP="007C229D">
            <w:pPr>
              <w:rPr>
                <w:rFonts w:cs="Calibri"/>
                <w:b/>
                <w:bCs/>
                <w:sz w:val="18"/>
                <w:szCs w:val="20"/>
              </w:rPr>
            </w:pPr>
            <w:r>
              <w:rPr>
                <w:rFonts w:cs="Calibri"/>
                <w:bCs/>
                <w:sz w:val="18"/>
                <w:szCs w:val="20"/>
              </w:rPr>
              <w:t>Dataanvender</w:t>
            </w:r>
          </w:p>
        </w:tc>
      </w:tr>
    </w:tbl>
    <w:p w:rsidR="00D76D9B" w:rsidRPr="00AC5579" w:rsidRDefault="00D76D9B" w:rsidP="00D76D9B"/>
    <w:p w:rsidR="00D76D9B" w:rsidRPr="00AC5579" w:rsidRDefault="00AA3718" w:rsidP="00D76D9B">
      <w:r>
        <w:t xml:space="preserve">Projektforum </w:t>
      </w:r>
      <w:r w:rsidR="00066551" w:rsidRPr="00AC5579">
        <w:t xml:space="preserve"> inddrager e</w:t>
      </w:r>
      <w:r w:rsidR="00D76D9B" w:rsidRPr="00AC5579">
        <w:t xml:space="preserve">fter behov faglige kompetencer hos aftaleparterne. </w:t>
      </w:r>
    </w:p>
    <w:p w:rsidR="00D76D9B" w:rsidRPr="00AC5579" w:rsidRDefault="00D76D9B" w:rsidP="00D76D9B"/>
    <w:p w:rsidR="00D76D9B" w:rsidRPr="00AC5579" w:rsidRDefault="00AA3718" w:rsidP="00D76D9B">
      <w:r>
        <w:t xml:space="preserve">Projektforum </w:t>
      </w:r>
      <w:r w:rsidR="00D76D9B" w:rsidRPr="00AC5579">
        <w:t>s opgaver er:</w:t>
      </w:r>
    </w:p>
    <w:p w:rsidR="003B17DC" w:rsidRPr="00AC5579" w:rsidRDefault="003B17DC" w:rsidP="008971BA">
      <w:pPr>
        <w:numPr>
          <w:ilvl w:val="0"/>
          <w:numId w:val="25"/>
        </w:numPr>
      </w:pPr>
      <w:r w:rsidRPr="00AC5579">
        <w:t>At holde</w:t>
      </w:r>
      <w:r w:rsidR="005455C5" w:rsidRPr="00AC5579">
        <w:t xml:space="preserve"> aftaleparterne</w:t>
      </w:r>
      <w:r w:rsidR="00C80852" w:rsidRPr="00AC5579">
        <w:t>, herunder projekterne,</w:t>
      </w:r>
      <w:r w:rsidRPr="00AC5579">
        <w:t xml:space="preserve"> orienteret om fremdriften af programmet som helhed og af de enkelte projekter. </w:t>
      </w:r>
    </w:p>
    <w:p w:rsidR="005455C5" w:rsidRPr="00AC5579" w:rsidRDefault="005455C5" w:rsidP="008971BA">
      <w:pPr>
        <w:numPr>
          <w:ilvl w:val="0"/>
          <w:numId w:val="25"/>
        </w:numPr>
      </w:pPr>
      <w:r w:rsidRPr="00AC5579">
        <w:t>Orientering og drøftelser af udfordri</w:t>
      </w:r>
      <w:r w:rsidR="00C80852" w:rsidRPr="00AC5579">
        <w:t xml:space="preserve">nger i de forskelle projekters </w:t>
      </w:r>
      <w:r w:rsidRPr="00AC5579">
        <w:t>gennemførelse</w:t>
      </w:r>
      <w:r w:rsidR="00C80852" w:rsidRPr="00AC5579">
        <w:t>.</w:t>
      </w:r>
      <w:r w:rsidRPr="00AC5579">
        <w:t xml:space="preserve"> </w:t>
      </w:r>
    </w:p>
    <w:p w:rsidR="005455C5" w:rsidRPr="00AC5579" w:rsidRDefault="005455C5" w:rsidP="008971BA">
      <w:pPr>
        <w:numPr>
          <w:ilvl w:val="0"/>
          <w:numId w:val="25"/>
        </w:numPr>
      </w:pPr>
      <w:r w:rsidRPr="00AC5579">
        <w:t>Deling af viden om forhold der kan være kritisk for programmets gennemførelse.</w:t>
      </w:r>
    </w:p>
    <w:p w:rsidR="005455C5" w:rsidRPr="00AC5579" w:rsidRDefault="005455C5" w:rsidP="008971BA">
      <w:pPr>
        <w:numPr>
          <w:ilvl w:val="0"/>
          <w:numId w:val="25"/>
        </w:numPr>
      </w:pPr>
      <w:r w:rsidRPr="00AC5579">
        <w:t xml:space="preserve">Udarbejde forslag til initiativer og/eller korrigerende handlinger. </w:t>
      </w:r>
    </w:p>
    <w:p w:rsidR="00D76D9B" w:rsidRPr="00AC5579" w:rsidRDefault="005455C5" w:rsidP="008971BA">
      <w:pPr>
        <w:numPr>
          <w:ilvl w:val="0"/>
          <w:numId w:val="25"/>
        </w:numPr>
      </w:pPr>
      <w:r w:rsidRPr="00AC5579">
        <w:t xml:space="preserve">Medvirke ved </w:t>
      </w:r>
      <w:r w:rsidR="00D76D9B" w:rsidRPr="00AC5579">
        <w:t xml:space="preserve">udarbejdelse af </w:t>
      </w:r>
      <w:r w:rsidRPr="00AC5579">
        <w:t>fælles implementeringsplan og anden planlægning, der har betydning for programmets gennemførelse.</w:t>
      </w:r>
    </w:p>
    <w:p w:rsidR="001D6A7A" w:rsidRPr="00AC5579" w:rsidRDefault="00D76D9B" w:rsidP="008971BA">
      <w:pPr>
        <w:numPr>
          <w:ilvl w:val="0"/>
          <w:numId w:val="25"/>
        </w:numPr>
      </w:pPr>
      <w:r w:rsidRPr="00AC5579">
        <w:t>I arbejdsgrupper udarbejdes op</w:t>
      </w:r>
      <w:r w:rsidR="00A960DB" w:rsidRPr="00AC5579">
        <w:t>l</w:t>
      </w:r>
      <w:r w:rsidRPr="00AC5579">
        <w:t>æg og udredninger vedrørende faglige spør</w:t>
      </w:r>
      <w:r w:rsidR="005455C5" w:rsidRPr="00AC5579">
        <w:t xml:space="preserve">gsmål i relation til programmet (Eksempler: </w:t>
      </w:r>
      <w:r w:rsidR="001D6A7A" w:rsidRPr="00AC5579">
        <w:t xml:space="preserve">metoder for datavask, </w:t>
      </w:r>
      <w:r w:rsidR="005455C5" w:rsidRPr="00AC5579">
        <w:t>u</w:t>
      </w:r>
      <w:r w:rsidR="001D6A7A" w:rsidRPr="00AC5579">
        <w:t xml:space="preserve">darbejdelse og specifikation af </w:t>
      </w:r>
      <w:r w:rsidR="005455C5" w:rsidRPr="00AC5579">
        <w:t>fælles datamodel</w:t>
      </w:r>
      <w:r w:rsidR="001D6A7A" w:rsidRPr="00AC5579">
        <w:t xml:space="preserve"> og snitflader)</w:t>
      </w:r>
    </w:p>
    <w:p w:rsidR="001D6A7A" w:rsidRPr="00AC5579" w:rsidRDefault="001D6A7A" w:rsidP="008971BA">
      <w:pPr>
        <w:numPr>
          <w:ilvl w:val="0"/>
          <w:numId w:val="25"/>
        </w:numPr>
      </w:pPr>
      <w:r w:rsidRPr="00AC5579">
        <w:t xml:space="preserve">Sikre at </w:t>
      </w:r>
      <w:r w:rsidR="007F68D8" w:rsidRPr="00AC5579">
        <w:t xml:space="preserve">projekternes </w:t>
      </w:r>
      <w:r w:rsidRPr="00AC5579">
        <w:t xml:space="preserve">implementeringen af  fælles forretningsregler, </w:t>
      </w:r>
      <w:r w:rsidR="007F68D8" w:rsidRPr="00AC5579">
        <w:t>komponenter og snitflader sker som aftalt.</w:t>
      </w:r>
    </w:p>
    <w:p w:rsidR="001D6A7A" w:rsidRPr="00AC5579" w:rsidRDefault="001D6A7A" w:rsidP="008971BA">
      <w:pPr>
        <w:numPr>
          <w:ilvl w:val="0"/>
          <w:numId w:val="25"/>
        </w:numPr>
      </w:pPr>
      <w:r w:rsidRPr="00AC5579">
        <w:t>Håndtering af krav og input fra eksterne parter</w:t>
      </w:r>
      <w:r w:rsidR="007F68D8" w:rsidRPr="00AC5579">
        <w:t>, herunder teknisk følgegruppe.</w:t>
      </w:r>
    </w:p>
    <w:p w:rsidR="00D76D9B" w:rsidRPr="00AC5579" w:rsidRDefault="00D76D9B" w:rsidP="008971BA">
      <w:pPr>
        <w:numPr>
          <w:ilvl w:val="0"/>
          <w:numId w:val="25"/>
        </w:numPr>
      </w:pPr>
      <w:r w:rsidRPr="00AC5579">
        <w:t>Sparring for projektsekretariatet.</w:t>
      </w:r>
    </w:p>
    <w:p w:rsidR="00A960DB" w:rsidRPr="00AC5579" w:rsidRDefault="00A960DB" w:rsidP="005455C5">
      <w:pPr>
        <w:ind w:left="720"/>
      </w:pPr>
    </w:p>
    <w:p w:rsidR="00D76D9B" w:rsidRPr="00AC5579" w:rsidRDefault="00D76D9B" w:rsidP="00D76D9B">
      <w:pPr>
        <w:ind w:left="360"/>
      </w:pPr>
    </w:p>
    <w:p w:rsidR="00D76D9B" w:rsidRPr="00AC5579" w:rsidRDefault="00D76D9B" w:rsidP="00D76D9B">
      <w:pPr>
        <w:pStyle w:val="Overskrift2"/>
        <w:rPr>
          <w:lang w:val="da-DK"/>
        </w:rPr>
      </w:pPr>
      <w:bookmarkStart w:id="125" w:name="_Toc341024670"/>
      <w:r w:rsidRPr="00AC5579">
        <w:rPr>
          <w:lang w:val="da-DK"/>
        </w:rPr>
        <w:lastRenderedPageBreak/>
        <w:t>Projekt</w:t>
      </w:r>
      <w:r w:rsidR="00BA0571" w:rsidRPr="00AC5579">
        <w:rPr>
          <w:lang w:val="da-DK"/>
        </w:rPr>
        <w:t>er</w:t>
      </w:r>
      <w:bookmarkEnd w:id="125"/>
    </w:p>
    <w:p w:rsidR="00D76D9B" w:rsidRPr="00AC5579" w:rsidRDefault="00D76D9B" w:rsidP="00D76D9B">
      <w:r w:rsidRPr="00AC5579">
        <w:t>Organiseringen af programmets projekter besluttes af de enkelte aftaleparter.</w:t>
      </w:r>
      <w:r w:rsidR="00BA0571" w:rsidRPr="00AC5579">
        <w:t xml:space="preserve"> Det er aftaleparternes ansvar</w:t>
      </w:r>
      <w:r w:rsidR="00066551" w:rsidRPr="00AC5579">
        <w:t>,</w:t>
      </w:r>
      <w:r w:rsidR="00BA0571" w:rsidRPr="00AC5579">
        <w:t xml:space="preserve"> at </w:t>
      </w:r>
      <w:r w:rsidR="00380C4F">
        <w:t xml:space="preserve">projekterne er konsistent med  </w:t>
      </w:r>
      <w:r w:rsidR="00BA0571" w:rsidRPr="00AC5579">
        <w:t>programmet.</w:t>
      </w:r>
    </w:p>
    <w:p w:rsidR="00D76D9B" w:rsidRPr="00AC5579" w:rsidRDefault="00D76D9B" w:rsidP="00D76D9B"/>
    <w:p w:rsidR="00D76D9B" w:rsidRPr="00AC5579" w:rsidRDefault="00D76D9B" w:rsidP="00D76D9B">
      <w:r w:rsidRPr="00AC5579">
        <w:t>Hvert enkelt projekts opgaver i forhold til programmet er:</w:t>
      </w:r>
    </w:p>
    <w:p w:rsidR="00D76D9B" w:rsidRPr="00AC5579" w:rsidRDefault="00D76D9B" w:rsidP="008971BA">
      <w:pPr>
        <w:numPr>
          <w:ilvl w:val="0"/>
          <w:numId w:val="26"/>
        </w:numPr>
      </w:pPr>
      <w:r w:rsidRPr="00AC5579">
        <w:t>Planlægge og gennemføre implementeringen af projektet i overensstemmelse med programmets overordnede implementeringsplan.</w:t>
      </w:r>
    </w:p>
    <w:p w:rsidR="00066551" w:rsidRPr="00AC5579" w:rsidRDefault="00066551" w:rsidP="008971BA">
      <w:pPr>
        <w:numPr>
          <w:ilvl w:val="0"/>
          <w:numId w:val="26"/>
        </w:numPr>
      </w:pPr>
      <w:r w:rsidRPr="00AC5579">
        <w:t xml:space="preserve">Deltage i møder i </w:t>
      </w:r>
      <w:r w:rsidR="00AA3718">
        <w:t xml:space="preserve">projektforum </w:t>
      </w:r>
      <w:r w:rsidRPr="00AC5579">
        <w:t>.</w:t>
      </w:r>
    </w:p>
    <w:p w:rsidR="00D76D9B" w:rsidRPr="00AC5579" w:rsidRDefault="00066551" w:rsidP="008971BA">
      <w:pPr>
        <w:numPr>
          <w:ilvl w:val="0"/>
          <w:numId w:val="26"/>
        </w:numPr>
      </w:pPr>
      <w:r w:rsidRPr="00AC5579">
        <w:t xml:space="preserve">Bidrage med </w:t>
      </w:r>
      <w:r w:rsidR="00D76D9B" w:rsidRPr="00AC5579">
        <w:t xml:space="preserve">faglige </w:t>
      </w:r>
      <w:r w:rsidR="00FC5AB3" w:rsidRPr="00AC5579">
        <w:t xml:space="preserve">og forretningsmæssige </w:t>
      </w:r>
      <w:r w:rsidR="00D76D9B" w:rsidRPr="00AC5579">
        <w:t xml:space="preserve">kompetencer til </w:t>
      </w:r>
      <w:r w:rsidR="00AA3718">
        <w:t xml:space="preserve">projektforum </w:t>
      </w:r>
      <w:r w:rsidR="00D76D9B" w:rsidRPr="00AC5579">
        <w:t xml:space="preserve">. </w:t>
      </w:r>
    </w:p>
    <w:p w:rsidR="00D76D9B" w:rsidRPr="00AC5579" w:rsidRDefault="00D76D9B" w:rsidP="008971BA">
      <w:pPr>
        <w:numPr>
          <w:ilvl w:val="0"/>
          <w:numId w:val="26"/>
        </w:numPr>
      </w:pPr>
      <w:r w:rsidRPr="00AC5579">
        <w:t>Levere statusrapporter</w:t>
      </w:r>
      <w:r w:rsidR="000C29EA">
        <w:t>, herunder risikovurderinger</w:t>
      </w:r>
      <w:r w:rsidRPr="00AC5579">
        <w:t xml:space="preserve"> i standardiserede formater om projektets fremdrift mv.</w:t>
      </w:r>
    </w:p>
    <w:p w:rsidR="00D76D9B" w:rsidRPr="00AC5579" w:rsidRDefault="00D76D9B" w:rsidP="008971BA">
      <w:pPr>
        <w:numPr>
          <w:ilvl w:val="0"/>
          <w:numId w:val="26"/>
        </w:numPr>
      </w:pPr>
      <w:r w:rsidRPr="00AC5579">
        <w:t>Deltage i det løb</w:t>
      </w:r>
      <w:r w:rsidR="0071579C" w:rsidRPr="00AC5579">
        <w:t xml:space="preserve">ende samarbejde </w:t>
      </w:r>
      <w:r w:rsidR="00066551" w:rsidRPr="00AC5579">
        <w:t xml:space="preserve">med aftaleparterne og </w:t>
      </w:r>
      <w:r w:rsidRPr="00AC5579">
        <w:t xml:space="preserve">øvrige </w:t>
      </w:r>
      <w:r w:rsidR="00066551" w:rsidRPr="00AC5579">
        <w:t>sama</w:t>
      </w:r>
      <w:r w:rsidR="0071579C" w:rsidRPr="00AC5579">
        <w:t>rbejdsparter</w:t>
      </w:r>
      <w:r w:rsidR="00066551" w:rsidRPr="00AC5579">
        <w:t>.</w:t>
      </w:r>
    </w:p>
    <w:p w:rsidR="00D76D9B" w:rsidRPr="00AC5579" w:rsidRDefault="00D76D9B" w:rsidP="00D76D9B"/>
    <w:p w:rsidR="00D76D9B" w:rsidRPr="00AC5579" w:rsidRDefault="00D76D9B" w:rsidP="00D76D9B">
      <w:pPr>
        <w:pStyle w:val="Overskrift1"/>
      </w:pPr>
      <w:bookmarkStart w:id="126" w:name="_Toc341024671"/>
      <w:r w:rsidRPr="00AC5579">
        <w:lastRenderedPageBreak/>
        <w:t xml:space="preserve">Bilag </w:t>
      </w:r>
      <w:r w:rsidR="0083002B" w:rsidRPr="00AC5579">
        <w:t>4</w:t>
      </w:r>
      <w:r w:rsidRPr="00AC5579">
        <w:t>: Økonomi</w:t>
      </w:r>
      <w:bookmarkEnd w:id="126"/>
    </w:p>
    <w:p w:rsidR="00ED78E9" w:rsidRPr="00AC5579" w:rsidRDefault="00ED78E9" w:rsidP="00ED78E9"/>
    <w:p w:rsidR="00ED78E9" w:rsidRPr="00AC5579" w:rsidRDefault="00ED78E9" w:rsidP="000B3A9C">
      <w:pPr>
        <w:pStyle w:val="Overskrift2"/>
        <w:rPr>
          <w:lang w:val="da-DK"/>
        </w:rPr>
      </w:pPr>
      <w:bookmarkStart w:id="127" w:name="_Toc341024672"/>
      <w:r w:rsidRPr="00AC5579">
        <w:rPr>
          <w:lang w:val="da-DK"/>
        </w:rPr>
        <w:t>Ministeriet for By, Bolig og Landdistrikter</w:t>
      </w:r>
      <w:bookmarkEnd w:id="127"/>
    </w:p>
    <w:tbl>
      <w:tblPr>
        <w:tblW w:w="8540" w:type="dxa"/>
        <w:tblInd w:w="55" w:type="dxa"/>
        <w:tblCellMar>
          <w:left w:w="70" w:type="dxa"/>
          <w:right w:w="70" w:type="dxa"/>
        </w:tblCellMar>
        <w:tblLook w:val="04A0" w:firstRow="1" w:lastRow="0" w:firstColumn="1" w:lastColumn="0" w:noHBand="0" w:noVBand="1"/>
      </w:tblPr>
      <w:tblGrid>
        <w:gridCol w:w="2760"/>
        <w:gridCol w:w="480"/>
        <w:gridCol w:w="480"/>
        <w:gridCol w:w="480"/>
        <w:gridCol w:w="480"/>
        <w:gridCol w:w="480"/>
        <w:gridCol w:w="480"/>
        <w:gridCol w:w="480"/>
        <w:gridCol w:w="480"/>
        <w:gridCol w:w="480"/>
        <w:gridCol w:w="480"/>
        <w:gridCol w:w="480"/>
        <w:gridCol w:w="500"/>
      </w:tblGrid>
      <w:tr w:rsidR="00D2658F" w:rsidRPr="00D2658F" w:rsidTr="00D2658F">
        <w:trPr>
          <w:trHeight w:val="312"/>
        </w:trPr>
        <w:tc>
          <w:tcPr>
            <w:tcW w:w="2760" w:type="dxa"/>
            <w:tcBorders>
              <w:top w:val="single" w:sz="8" w:space="0" w:color="auto"/>
              <w:left w:val="single" w:sz="8" w:space="0" w:color="auto"/>
              <w:bottom w:val="single" w:sz="8" w:space="0" w:color="auto"/>
              <w:right w:val="nil"/>
            </w:tcBorders>
            <w:shd w:val="clear" w:color="000000" w:fill="A6A6A6"/>
            <w:noWrap/>
            <w:vAlign w:val="bottom"/>
            <w:hideMark/>
          </w:tcPr>
          <w:p w:rsidR="00D2658F" w:rsidRPr="00D2658F" w:rsidRDefault="00D2658F" w:rsidP="00D2658F">
            <w:pPr>
              <w:jc w:val="left"/>
              <w:rPr>
                <w:rFonts w:cs="Arial"/>
                <w:b/>
                <w:bCs/>
                <w:color w:val="FFFFFF"/>
                <w:sz w:val="12"/>
                <w:szCs w:val="10"/>
              </w:rPr>
            </w:pPr>
            <w:r w:rsidRPr="00D2658F">
              <w:rPr>
                <w:rFonts w:cs="Arial"/>
                <w:b/>
                <w:bCs/>
                <w:color w:val="FFFFFF"/>
                <w:sz w:val="12"/>
                <w:szCs w:val="10"/>
              </w:rPr>
              <w:t>AKTIVITET</w:t>
            </w:r>
          </w:p>
        </w:tc>
        <w:tc>
          <w:tcPr>
            <w:tcW w:w="48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2013</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2014</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2015</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2016</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2017</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2018</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2019</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2020</w:t>
            </w:r>
          </w:p>
        </w:tc>
        <w:tc>
          <w:tcPr>
            <w:tcW w:w="480"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2021</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2022</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2023</w:t>
            </w:r>
          </w:p>
        </w:tc>
        <w:tc>
          <w:tcPr>
            <w:tcW w:w="500"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2013 -</w:t>
            </w:r>
            <w:r w:rsidRPr="00D2658F">
              <w:rPr>
                <w:rFonts w:cs="Arial"/>
                <w:b/>
                <w:bCs/>
                <w:color w:val="FFFFFF"/>
                <w:sz w:val="12"/>
                <w:szCs w:val="10"/>
              </w:rPr>
              <w:br/>
              <w:t xml:space="preserve">2023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Programledelse</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-1,80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-1,25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-14,15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Forvaltning af forretningsansvaret for BBR</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-1,30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-1,30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-1,30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-1,30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-10,90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Forvaltning af BBR datamodel</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-4,50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000000" w:fill="F2F2F2"/>
            <w:vAlign w:val="center"/>
            <w:hideMark/>
          </w:tcPr>
          <w:p w:rsidR="00D2658F" w:rsidRPr="00D2658F" w:rsidRDefault="00D2658F" w:rsidP="00D2658F">
            <w:pPr>
              <w:jc w:val="left"/>
              <w:outlineLvl w:val="0"/>
              <w:rPr>
                <w:rFonts w:cs="Arial"/>
                <w:sz w:val="12"/>
                <w:szCs w:val="10"/>
              </w:rPr>
            </w:pPr>
            <w:r w:rsidRPr="00D2658F">
              <w:rPr>
                <w:rFonts w:cs="Arial"/>
                <w:sz w:val="12"/>
                <w:szCs w:val="10"/>
              </w:rPr>
              <w:t>Vedvarende styringsmodel i alt</w:t>
            </w:r>
          </w:p>
        </w:tc>
        <w:tc>
          <w:tcPr>
            <w:tcW w:w="480" w:type="dxa"/>
            <w:tcBorders>
              <w:top w:val="nil"/>
              <w:left w:val="nil"/>
              <w:bottom w:val="single" w:sz="4"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-2,30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-3,30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-3,60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-3,05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-2,55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-2,55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-2,55 </w:t>
            </w:r>
          </w:p>
        </w:tc>
        <w:tc>
          <w:tcPr>
            <w:tcW w:w="480" w:type="dxa"/>
            <w:tcBorders>
              <w:top w:val="nil"/>
              <w:left w:val="single" w:sz="4" w:space="0" w:color="auto"/>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-2,55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-2,55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-2,55 </w:t>
            </w:r>
          </w:p>
        </w:tc>
        <w:tc>
          <w:tcPr>
            <w:tcW w:w="500" w:type="dxa"/>
            <w:tcBorders>
              <w:top w:val="nil"/>
              <w:left w:val="single" w:sz="8" w:space="0" w:color="auto"/>
              <w:bottom w:val="single" w:sz="4" w:space="0" w:color="auto"/>
              <w:right w:val="single" w:sz="8" w:space="0" w:color="auto"/>
            </w:tcBorders>
            <w:shd w:val="clear" w:color="000000" w:fill="F2F2F2"/>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-29,55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Projektledelse BBR-udvidelse (forretning)</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-2,25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Projektomk BBR</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-1,10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-1,10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-2,20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Datavask BBR (internt)</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-0,25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-0,25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Datavask BBR(eksternt)</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-1,25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-1,25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000000" w:fill="F2F2F2"/>
            <w:vAlign w:val="center"/>
            <w:hideMark/>
          </w:tcPr>
          <w:p w:rsidR="00D2658F" w:rsidRPr="00D2658F" w:rsidRDefault="00D2658F" w:rsidP="00D2658F">
            <w:pPr>
              <w:jc w:val="left"/>
              <w:outlineLvl w:val="0"/>
              <w:rPr>
                <w:rFonts w:cs="Arial"/>
                <w:sz w:val="12"/>
                <w:szCs w:val="10"/>
              </w:rPr>
            </w:pPr>
            <w:r w:rsidRPr="00D2658F">
              <w:rPr>
                <w:rFonts w:cs="Arial"/>
                <w:sz w:val="12"/>
                <w:szCs w:val="10"/>
              </w:rPr>
              <w:t>Datavask BBR i alt</w:t>
            </w:r>
          </w:p>
        </w:tc>
        <w:tc>
          <w:tcPr>
            <w:tcW w:w="480" w:type="dxa"/>
            <w:tcBorders>
              <w:top w:val="nil"/>
              <w:left w:val="nil"/>
              <w:bottom w:val="single" w:sz="4"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-1,50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000000" w:fill="F2F2F2"/>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-2,25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Udvikling af BBR v2.0</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-2,79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-6,29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-9,08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Geokodning</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-3,50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000000" w:fill="F2F2F2"/>
            <w:vAlign w:val="center"/>
            <w:hideMark/>
          </w:tcPr>
          <w:p w:rsidR="00D2658F" w:rsidRPr="00D2658F" w:rsidRDefault="00D2658F" w:rsidP="00D2658F">
            <w:pPr>
              <w:jc w:val="left"/>
              <w:outlineLvl w:val="0"/>
              <w:rPr>
                <w:rFonts w:cs="Arial"/>
                <w:sz w:val="12"/>
                <w:szCs w:val="10"/>
              </w:rPr>
            </w:pPr>
            <w:r w:rsidRPr="00D2658F">
              <w:rPr>
                <w:rFonts w:cs="Arial"/>
                <w:sz w:val="12"/>
                <w:szCs w:val="10"/>
              </w:rPr>
              <w:t>Udvikling af registerudvidelse BBR</w:t>
            </w:r>
          </w:p>
        </w:tc>
        <w:tc>
          <w:tcPr>
            <w:tcW w:w="480" w:type="dxa"/>
            <w:tcBorders>
              <w:top w:val="nil"/>
              <w:left w:val="nil"/>
              <w:bottom w:val="single" w:sz="4"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-6,29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-6,29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000000" w:fill="F2F2F2"/>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-12,58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Modernisering og change management BBR</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-4,30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-4,05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-3,80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-3,80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-3,80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-3,80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-3,80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-3,80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-31,15 </w:t>
            </w:r>
          </w:p>
        </w:tc>
      </w:tr>
      <w:tr w:rsidR="00D2658F" w:rsidRPr="00D2658F" w:rsidTr="00D2658F">
        <w:trPr>
          <w:trHeight w:val="228"/>
        </w:trPr>
        <w:tc>
          <w:tcPr>
            <w:tcW w:w="2760" w:type="dxa"/>
            <w:tcBorders>
              <w:top w:val="nil"/>
              <w:left w:val="single" w:sz="8" w:space="0" w:color="auto"/>
              <w:bottom w:val="single" w:sz="8" w:space="0" w:color="auto"/>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Specifikation harmoniseret arealbegreb BBR</w:t>
            </w:r>
          </w:p>
        </w:tc>
        <w:tc>
          <w:tcPr>
            <w:tcW w:w="480" w:type="dxa"/>
            <w:tcBorders>
              <w:top w:val="nil"/>
              <w:left w:val="nil"/>
              <w:bottom w:val="nil"/>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-1,50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-1,50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8"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-5,50 </w:t>
            </w:r>
          </w:p>
        </w:tc>
      </w:tr>
      <w:tr w:rsidR="00D2658F" w:rsidRPr="00D2658F" w:rsidTr="00D2658F">
        <w:trPr>
          <w:trHeight w:val="228"/>
        </w:trPr>
        <w:tc>
          <w:tcPr>
            <w:tcW w:w="2760" w:type="dxa"/>
            <w:tcBorders>
              <w:top w:val="nil"/>
              <w:left w:val="single" w:sz="8" w:space="0" w:color="auto"/>
              <w:bottom w:val="double" w:sz="6" w:space="0" w:color="auto"/>
              <w:right w:val="single" w:sz="8" w:space="0" w:color="auto"/>
            </w:tcBorders>
            <w:shd w:val="clear" w:color="000000" w:fill="F2F2F2"/>
            <w:vAlign w:val="center"/>
            <w:hideMark/>
          </w:tcPr>
          <w:p w:rsidR="00D2658F" w:rsidRPr="00D2658F" w:rsidRDefault="00D2658F" w:rsidP="00D2658F">
            <w:pPr>
              <w:jc w:val="left"/>
              <w:outlineLvl w:val="0"/>
              <w:rPr>
                <w:rFonts w:cs="Arial"/>
                <w:b/>
                <w:bCs/>
                <w:sz w:val="12"/>
                <w:szCs w:val="10"/>
              </w:rPr>
            </w:pPr>
            <w:r w:rsidRPr="00D2658F">
              <w:rPr>
                <w:rFonts w:cs="Arial"/>
                <w:b/>
                <w:bCs/>
                <w:sz w:val="12"/>
                <w:szCs w:val="10"/>
              </w:rPr>
              <w:t>MBBL i alt, excl. OIS</w:t>
            </w:r>
          </w:p>
        </w:tc>
        <w:tc>
          <w:tcPr>
            <w:tcW w:w="480" w:type="dxa"/>
            <w:tcBorders>
              <w:top w:val="single" w:sz="8" w:space="0" w:color="auto"/>
              <w:left w:val="nil"/>
              <w:bottom w:val="double" w:sz="6"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-2,75 </w:t>
            </w:r>
          </w:p>
        </w:tc>
        <w:tc>
          <w:tcPr>
            <w:tcW w:w="480" w:type="dxa"/>
            <w:tcBorders>
              <w:top w:val="single" w:sz="8" w:space="0" w:color="auto"/>
              <w:left w:val="nil"/>
              <w:bottom w:val="double" w:sz="6"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-11,94 </w:t>
            </w:r>
          </w:p>
        </w:tc>
        <w:tc>
          <w:tcPr>
            <w:tcW w:w="480" w:type="dxa"/>
            <w:tcBorders>
              <w:top w:val="single" w:sz="8" w:space="0" w:color="auto"/>
              <w:left w:val="nil"/>
              <w:bottom w:val="double" w:sz="6"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-11,44 </w:t>
            </w:r>
          </w:p>
        </w:tc>
        <w:tc>
          <w:tcPr>
            <w:tcW w:w="480" w:type="dxa"/>
            <w:tcBorders>
              <w:top w:val="single" w:sz="8" w:space="0" w:color="auto"/>
              <w:left w:val="nil"/>
              <w:bottom w:val="double" w:sz="6"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-8,40 </w:t>
            </w:r>
          </w:p>
        </w:tc>
        <w:tc>
          <w:tcPr>
            <w:tcW w:w="480" w:type="dxa"/>
            <w:tcBorders>
              <w:top w:val="single" w:sz="8" w:space="0" w:color="auto"/>
              <w:left w:val="nil"/>
              <w:bottom w:val="double" w:sz="6"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-9,10 </w:t>
            </w:r>
          </w:p>
        </w:tc>
        <w:tc>
          <w:tcPr>
            <w:tcW w:w="480" w:type="dxa"/>
            <w:tcBorders>
              <w:top w:val="single" w:sz="8" w:space="0" w:color="auto"/>
              <w:left w:val="nil"/>
              <w:bottom w:val="double" w:sz="6"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-7,85 </w:t>
            </w:r>
          </w:p>
        </w:tc>
        <w:tc>
          <w:tcPr>
            <w:tcW w:w="480" w:type="dxa"/>
            <w:tcBorders>
              <w:top w:val="single" w:sz="8" w:space="0" w:color="auto"/>
              <w:left w:val="nil"/>
              <w:bottom w:val="double" w:sz="6"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-6,35 </w:t>
            </w:r>
          </w:p>
        </w:tc>
        <w:tc>
          <w:tcPr>
            <w:tcW w:w="480" w:type="dxa"/>
            <w:tcBorders>
              <w:top w:val="single" w:sz="8" w:space="0" w:color="auto"/>
              <w:left w:val="nil"/>
              <w:bottom w:val="double" w:sz="6" w:space="0" w:color="auto"/>
              <w:right w:val="nil"/>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-6,35 </w:t>
            </w:r>
          </w:p>
        </w:tc>
        <w:tc>
          <w:tcPr>
            <w:tcW w:w="480" w:type="dxa"/>
            <w:tcBorders>
              <w:top w:val="single" w:sz="8" w:space="0" w:color="auto"/>
              <w:left w:val="single" w:sz="4" w:space="0" w:color="auto"/>
              <w:bottom w:val="double" w:sz="6"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-7,85 </w:t>
            </w:r>
          </w:p>
        </w:tc>
        <w:tc>
          <w:tcPr>
            <w:tcW w:w="480" w:type="dxa"/>
            <w:tcBorders>
              <w:top w:val="single" w:sz="8" w:space="0" w:color="auto"/>
              <w:left w:val="nil"/>
              <w:bottom w:val="double" w:sz="6"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-6,35 </w:t>
            </w:r>
          </w:p>
        </w:tc>
        <w:tc>
          <w:tcPr>
            <w:tcW w:w="480" w:type="dxa"/>
            <w:tcBorders>
              <w:top w:val="single" w:sz="8" w:space="0" w:color="auto"/>
              <w:left w:val="nil"/>
              <w:bottom w:val="double" w:sz="6" w:space="0" w:color="auto"/>
              <w:right w:val="nil"/>
            </w:tcBorders>
            <w:shd w:val="clear" w:color="000000" w:fill="F2F2F2"/>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-6,35 </w:t>
            </w:r>
          </w:p>
        </w:tc>
        <w:tc>
          <w:tcPr>
            <w:tcW w:w="500" w:type="dxa"/>
            <w:tcBorders>
              <w:top w:val="nil"/>
              <w:left w:val="single" w:sz="8" w:space="0" w:color="auto"/>
              <w:bottom w:val="double" w:sz="6" w:space="0" w:color="auto"/>
              <w:right w:val="single" w:sz="8" w:space="0" w:color="auto"/>
            </w:tcBorders>
            <w:shd w:val="clear" w:color="000000" w:fill="F2F2F2"/>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-84,73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OIS datatjenester (løn). Overført fra AP7</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-0,90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-0,90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-0,90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-0,90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-0,90 </w:t>
            </w:r>
          </w:p>
        </w:tc>
        <w:tc>
          <w:tcPr>
            <w:tcW w:w="480" w:type="dxa"/>
            <w:tcBorders>
              <w:top w:val="single" w:sz="4" w:space="0" w:color="auto"/>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-0,90 </w:t>
            </w:r>
          </w:p>
        </w:tc>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-0,90 </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-0,90 </w:t>
            </w:r>
          </w:p>
        </w:tc>
        <w:tc>
          <w:tcPr>
            <w:tcW w:w="480" w:type="dxa"/>
            <w:tcBorders>
              <w:top w:val="single" w:sz="4" w:space="0" w:color="auto"/>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-8,10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OIS datatjenester (udviklling). Overført fra AP7</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-5,40 </w:t>
            </w:r>
          </w:p>
        </w:tc>
      </w:tr>
      <w:tr w:rsidR="00D2658F" w:rsidRPr="00D2658F" w:rsidTr="00D2658F">
        <w:trPr>
          <w:trHeight w:val="228"/>
        </w:trPr>
        <w:tc>
          <w:tcPr>
            <w:tcW w:w="2760" w:type="dxa"/>
            <w:tcBorders>
              <w:top w:val="nil"/>
              <w:left w:val="single" w:sz="8" w:space="0" w:color="auto"/>
              <w:bottom w:val="nil"/>
              <w:right w:val="single" w:sz="8" w:space="0" w:color="auto"/>
            </w:tcBorders>
            <w:shd w:val="clear" w:color="000000" w:fill="F2F2F2"/>
            <w:vAlign w:val="center"/>
            <w:hideMark/>
          </w:tcPr>
          <w:p w:rsidR="00D2658F" w:rsidRPr="00D2658F" w:rsidRDefault="00D2658F" w:rsidP="00D2658F">
            <w:pPr>
              <w:jc w:val="left"/>
              <w:outlineLvl w:val="0"/>
              <w:rPr>
                <w:rFonts w:cs="Arial"/>
                <w:b/>
                <w:bCs/>
                <w:sz w:val="12"/>
                <w:szCs w:val="10"/>
              </w:rPr>
            </w:pPr>
            <w:r w:rsidRPr="00D2658F">
              <w:rPr>
                <w:rFonts w:cs="Arial"/>
                <w:b/>
                <w:bCs/>
                <w:sz w:val="12"/>
                <w:szCs w:val="10"/>
              </w:rPr>
              <w:t>OIS datatjenester i alt</w:t>
            </w:r>
          </w:p>
        </w:tc>
        <w:tc>
          <w:tcPr>
            <w:tcW w:w="480" w:type="dxa"/>
            <w:tcBorders>
              <w:top w:val="nil"/>
              <w:left w:val="nil"/>
              <w:bottom w:val="nil"/>
              <w:right w:val="single" w:sz="4" w:space="0" w:color="auto"/>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sz w:val="12"/>
                <w:szCs w:val="10"/>
              </w:rPr>
              <w:t xml:space="preserve">0,00 </w:t>
            </w:r>
          </w:p>
        </w:tc>
        <w:tc>
          <w:tcPr>
            <w:tcW w:w="480" w:type="dxa"/>
            <w:tcBorders>
              <w:top w:val="nil"/>
              <w:left w:val="nil"/>
              <w:bottom w:val="nil"/>
              <w:right w:val="single" w:sz="4" w:space="0" w:color="auto"/>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sz w:val="12"/>
                <w:szCs w:val="10"/>
              </w:rPr>
              <w:t xml:space="preserve">0,00 </w:t>
            </w:r>
          </w:p>
        </w:tc>
        <w:tc>
          <w:tcPr>
            <w:tcW w:w="480" w:type="dxa"/>
            <w:tcBorders>
              <w:top w:val="nil"/>
              <w:left w:val="nil"/>
              <w:bottom w:val="nil"/>
              <w:right w:val="single" w:sz="4" w:space="0" w:color="auto"/>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-1,50 </w:t>
            </w:r>
          </w:p>
        </w:tc>
        <w:tc>
          <w:tcPr>
            <w:tcW w:w="480" w:type="dxa"/>
            <w:tcBorders>
              <w:top w:val="nil"/>
              <w:left w:val="nil"/>
              <w:bottom w:val="nil"/>
              <w:right w:val="single" w:sz="4" w:space="0" w:color="auto"/>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-1,50 </w:t>
            </w:r>
          </w:p>
        </w:tc>
        <w:tc>
          <w:tcPr>
            <w:tcW w:w="480" w:type="dxa"/>
            <w:tcBorders>
              <w:top w:val="nil"/>
              <w:left w:val="nil"/>
              <w:bottom w:val="nil"/>
              <w:right w:val="single" w:sz="4" w:space="0" w:color="auto"/>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-1,50 </w:t>
            </w:r>
          </w:p>
        </w:tc>
        <w:tc>
          <w:tcPr>
            <w:tcW w:w="480" w:type="dxa"/>
            <w:tcBorders>
              <w:top w:val="nil"/>
              <w:left w:val="nil"/>
              <w:bottom w:val="nil"/>
              <w:right w:val="single" w:sz="4" w:space="0" w:color="auto"/>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-1,50 </w:t>
            </w:r>
          </w:p>
        </w:tc>
        <w:tc>
          <w:tcPr>
            <w:tcW w:w="480" w:type="dxa"/>
            <w:tcBorders>
              <w:top w:val="nil"/>
              <w:left w:val="nil"/>
              <w:bottom w:val="nil"/>
              <w:right w:val="single" w:sz="4" w:space="0" w:color="auto"/>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-1,50 </w:t>
            </w:r>
          </w:p>
        </w:tc>
        <w:tc>
          <w:tcPr>
            <w:tcW w:w="480" w:type="dxa"/>
            <w:tcBorders>
              <w:top w:val="nil"/>
              <w:left w:val="nil"/>
              <w:bottom w:val="nil"/>
              <w:right w:val="nil"/>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-1,50 </w:t>
            </w:r>
          </w:p>
        </w:tc>
        <w:tc>
          <w:tcPr>
            <w:tcW w:w="480" w:type="dxa"/>
            <w:tcBorders>
              <w:top w:val="nil"/>
              <w:left w:val="single" w:sz="4" w:space="0" w:color="auto"/>
              <w:bottom w:val="nil"/>
              <w:right w:val="single" w:sz="4" w:space="0" w:color="auto"/>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-1,50 </w:t>
            </w:r>
          </w:p>
        </w:tc>
        <w:tc>
          <w:tcPr>
            <w:tcW w:w="480" w:type="dxa"/>
            <w:tcBorders>
              <w:top w:val="nil"/>
              <w:left w:val="nil"/>
              <w:bottom w:val="nil"/>
              <w:right w:val="single" w:sz="4" w:space="0" w:color="auto"/>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-1,50 </w:t>
            </w:r>
          </w:p>
        </w:tc>
        <w:tc>
          <w:tcPr>
            <w:tcW w:w="480" w:type="dxa"/>
            <w:tcBorders>
              <w:top w:val="nil"/>
              <w:left w:val="nil"/>
              <w:bottom w:val="nil"/>
              <w:right w:val="nil"/>
            </w:tcBorders>
            <w:shd w:val="clear" w:color="000000" w:fill="F2F2F2"/>
            <w:noWrap/>
            <w:vAlign w:val="center"/>
            <w:hideMark/>
          </w:tcPr>
          <w:p w:rsidR="00D2658F" w:rsidRPr="00D2658F" w:rsidRDefault="00D2658F" w:rsidP="00D2658F">
            <w:pPr>
              <w:jc w:val="right"/>
              <w:outlineLvl w:val="0"/>
              <w:rPr>
                <w:rFonts w:cs="Arial"/>
                <w:b/>
                <w:bCs/>
                <w:sz w:val="12"/>
                <w:szCs w:val="10"/>
              </w:rPr>
            </w:pPr>
            <w:r w:rsidRPr="00D2658F">
              <w:rPr>
                <w:rFonts w:cs="Arial"/>
                <w:b/>
                <w:bCs/>
                <w:color w:val="FF0000"/>
                <w:sz w:val="12"/>
                <w:szCs w:val="10"/>
              </w:rPr>
              <w:t xml:space="preserve">-1,50 </w:t>
            </w:r>
          </w:p>
        </w:tc>
        <w:tc>
          <w:tcPr>
            <w:tcW w:w="500" w:type="dxa"/>
            <w:tcBorders>
              <w:top w:val="nil"/>
              <w:left w:val="single" w:sz="8" w:space="0" w:color="auto"/>
              <w:bottom w:val="nil"/>
              <w:right w:val="single" w:sz="8" w:space="0" w:color="auto"/>
            </w:tcBorders>
            <w:shd w:val="clear" w:color="000000" w:fill="F2F2F2"/>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-13,50 </w:t>
            </w:r>
          </w:p>
        </w:tc>
      </w:tr>
      <w:tr w:rsidR="00D2658F" w:rsidRPr="00D2658F" w:rsidTr="00B76855">
        <w:trPr>
          <w:trHeight w:val="228"/>
        </w:trPr>
        <w:tc>
          <w:tcPr>
            <w:tcW w:w="276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D2658F" w:rsidRPr="00D2658F" w:rsidRDefault="00D2658F" w:rsidP="00B76855">
            <w:pPr>
              <w:jc w:val="left"/>
              <w:rPr>
                <w:rFonts w:cs="Arial"/>
                <w:b/>
                <w:bCs/>
                <w:sz w:val="12"/>
                <w:szCs w:val="10"/>
              </w:rPr>
            </w:pPr>
            <w:r w:rsidRPr="00D2658F">
              <w:rPr>
                <w:rFonts w:cs="Arial"/>
                <w:b/>
                <w:bCs/>
                <w:sz w:val="12"/>
                <w:szCs w:val="10"/>
              </w:rPr>
              <w:t>MBBL  i alt, incl. OIS</w:t>
            </w:r>
          </w:p>
        </w:tc>
        <w:tc>
          <w:tcPr>
            <w:tcW w:w="48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D2658F" w:rsidRPr="00D2658F" w:rsidRDefault="00D2658F" w:rsidP="00D2658F">
            <w:pPr>
              <w:jc w:val="right"/>
              <w:rPr>
                <w:rFonts w:cs="Arial"/>
                <w:b/>
                <w:bCs/>
                <w:color w:val="FF0000"/>
                <w:sz w:val="12"/>
                <w:szCs w:val="10"/>
              </w:rPr>
            </w:pPr>
            <w:r w:rsidRPr="00D2658F">
              <w:rPr>
                <w:rFonts w:cs="Arial"/>
                <w:b/>
                <w:bCs/>
                <w:color w:val="FF0000"/>
                <w:sz w:val="12"/>
                <w:szCs w:val="10"/>
              </w:rPr>
              <w:t xml:space="preserve">-2,75 </w:t>
            </w:r>
          </w:p>
        </w:tc>
        <w:tc>
          <w:tcPr>
            <w:tcW w:w="480"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-11,94 </w:t>
            </w:r>
          </w:p>
        </w:tc>
        <w:tc>
          <w:tcPr>
            <w:tcW w:w="480"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-12,94 </w:t>
            </w:r>
          </w:p>
        </w:tc>
        <w:tc>
          <w:tcPr>
            <w:tcW w:w="480"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-9,90 </w:t>
            </w:r>
          </w:p>
        </w:tc>
        <w:tc>
          <w:tcPr>
            <w:tcW w:w="480"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-10,60 </w:t>
            </w:r>
          </w:p>
        </w:tc>
        <w:tc>
          <w:tcPr>
            <w:tcW w:w="480"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-9,35 </w:t>
            </w:r>
          </w:p>
        </w:tc>
        <w:tc>
          <w:tcPr>
            <w:tcW w:w="480"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-7,85 </w:t>
            </w:r>
          </w:p>
        </w:tc>
        <w:tc>
          <w:tcPr>
            <w:tcW w:w="480" w:type="dxa"/>
            <w:tcBorders>
              <w:top w:val="single" w:sz="8" w:space="0" w:color="auto"/>
              <w:left w:val="nil"/>
              <w:bottom w:val="single" w:sz="8" w:space="0" w:color="auto"/>
              <w:right w:val="nil"/>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-7,85 </w:t>
            </w:r>
          </w:p>
        </w:tc>
        <w:tc>
          <w:tcPr>
            <w:tcW w:w="480" w:type="dxa"/>
            <w:tcBorders>
              <w:top w:val="single" w:sz="8" w:space="0" w:color="auto"/>
              <w:left w:val="single" w:sz="4" w:space="0" w:color="auto"/>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-9,35 </w:t>
            </w:r>
          </w:p>
        </w:tc>
        <w:tc>
          <w:tcPr>
            <w:tcW w:w="480"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-7,85 </w:t>
            </w:r>
          </w:p>
        </w:tc>
        <w:tc>
          <w:tcPr>
            <w:tcW w:w="480" w:type="dxa"/>
            <w:tcBorders>
              <w:top w:val="single" w:sz="8" w:space="0" w:color="auto"/>
              <w:left w:val="nil"/>
              <w:bottom w:val="single" w:sz="8" w:space="0" w:color="auto"/>
              <w:right w:val="nil"/>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-7,85 </w:t>
            </w:r>
          </w:p>
        </w:tc>
        <w:tc>
          <w:tcPr>
            <w:tcW w:w="50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D2658F" w:rsidRPr="00D2658F" w:rsidRDefault="00D2658F" w:rsidP="00D2658F">
            <w:pPr>
              <w:jc w:val="right"/>
              <w:rPr>
                <w:rFonts w:cs="Arial"/>
                <w:b/>
                <w:sz w:val="12"/>
                <w:szCs w:val="10"/>
              </w:rPr>
            </w:pPr>
            <w:r w:rsidRPr="00D2658F">
              <w:rPr>
                <w:rFonts w:cs="Arial"/>
                <w:b/>
                <w:color w:val="FF0000"/>
                <w:sz w:val="12"/>
                <w:szCs w:val="10"/>
              </w:rPr>
              <w:t xml:space="preserve">-98,23 </w:t>
            </w:r>
          </w:p>
        </w:tc>
      </w:tr>
    </w:tbl>
    <w:p w:rsidR="00224534" w:rsidRPr="00AC5579" w:rsidRDefault="007C3F54" w:rsidP="007C3F54">
      <w:pPr>
        <w:pStyle w:val="Billedtekst"/>
      </w:pPr>
      <w:r w:rsidRPr="00AC5579">
        <w:t xml:space="preserve">Tabel </w:t>
      </w:r>
      <w:r w:rsidR="004B01EA">
        <w:fldChar w:fldCharType="begin"/>
      </w:r>
      <w:r w:rsidR="004B01EA">
        <w:instrText xml:space="preserve"> SEQ Tabel \* ARABIC </w:instrText>
      </w:r>
      <w:r w:rsidR="004B01EA">
        <w:fldChar w:fldCharType="separate"/>
      </w:r>
      <w:r w:rsidR="00B53FEA">
        <w:rPr>
          <w:noProof/>
        </w:rPr>
        <w:t>3</w:t>
      </w:r>
      <w:r w:rsidR="004B01EA">
        <w:rPr>
          <w:noProof/>
        </w:rPr>
        <w:fldChar w:fldCharType="end"/>
      </w:r>
      <w:r w:rsidRPr="00AC5579">
        <w:t>:</w:t>
      </w:r>
      <w:r w:rsidR="00183898" w:rsidRPr="00AC5579">
        <w:t xml:space="preserve"> </w:t>
      </w:r>
      <w:r w:rsidR="004C664A">
        <w:t>B</w:t>
      </w:r>
      <w:r w:rsidRPr="00AC5579">
        <w:t xml:space="preserve">udget </w:t>
      </w:r>
      <w:r w:rsidR="002E1C9C">
        <w:t xml:space="preserve">(mio. kr) </w:t>
      </w:r>
      <w:r w:rsidRPr="00AC5579">
        <w:t xml:space="preserve">for </w:t>
      </w:r>
      <w:r w:rsidR="00183898" w:rsidRPr="00AC5579">
        <w:t xml:space="preserve">MBBL’s medvirken i gennemførelse af </w:t>
      </w:r>
      <w:r w:rsidR="004C664A">
        <w:t>delaftale 1</w:t>
      </w:r>
      <w:r w:rsidR="00183898" w:rsidRPr="00AC5579">
        <w:t xml:space="preserve">: </w:t>
      </w:r>
      <w:r w:rsidR="007E4401">
        <w:t>Effektiv ejendomsforvaltning</w:t>
      </w:r>
      <w:r w:rsidR="00183898" w:rsidRPr="00AC5579">
        <w:t xml:space="preserve"> og genbrug af ejendomsdata.</w:t>
      </w:r>
      <w:r w:rsidR="004C664A">
        <w:t xml:space="preserve"> Budgettet er udgiftsbaseret før afskrivninger og risikokorrektion, jf. DIGST’s business case model.</w:t>
      </w:r>
    </w:p>
    <w:p w:rsidR="00892CC5" w:rsidRPr="00AC5579" w:rsidRDefault="00892CC5" w:rsidP="00ED78E9"/>
    <w:p w:rsidR="00ED78E9" w:rsidRPr="00AC5579" w:rsidRDefault="00ED78E9" w:rsidP="00ED78E9"/>
    <w:tbl>
      <w:tblPr>
        <w:tblW w:w="80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1701"/>
        <w:gridCol w:w="1639"/>
      </w:tblGrid>
      <w:tr w:rsidR="00426151" w:rsidRPr="00AC5579" w:rsidTr="00940906">
        <w:trPr>
          <w:trHeight w:val="270"/>
        </w:trPr>
        <w:tc>
          <w:tcPr>
            <w:tcW w:w="4693" w:type="dxa"/>
            <w:shd w:val="clear" w:color="auto" w:fill="A6A6A6"/>
            <w:noWrap/>
            <w:vAlign w:val="bottom"/>
          </w:tcPr>
          <w:p w:rsidR="009C76F9" w:rsidRPr="00AC5579" w:rsidRDefault="009C76F9" w:rsidP="00426151">
            <w:pPr>
              <w:pStyle w:val="MPBrdtekst"/>
              <w:jc w:val="left"/>
              <w:rPr>
                <w:rFonts w:ascii="Calibri" w:hAnsi="Calibri" w:cs="Calibri"/>
                <w:b/>
                <w:color w:val="FFFFFF"/>
                <w:sz w:val="20"/>
                <w:szCs w:val="20"/>
              </w:rPr>
            </w:pPr>
            <w:r w:rsidRPr="00AC5579">
              <w:rPr>
                <w:rFonts w:ascii="Calibri" w:hAnsi="Calibri" w:cs="Calibri"/>
                <w:b/>
                <w:color w:val="FFFFFF"/>
                <w:sz w:val="20"/>
                <w:szCs w:val="20"/>
              </w:rPr>
              <w:t xml:space="preserve">Beskrivelse </w:t>
            </w:r>
          </w:p>
        </w:tc>
        <w:tc>
          <w:tcPr>
            <w:tcW w:w="1701" w:type="dxa"/>
            <w:shd w:val="clear" w:color="auto" w:fill="A6A6A6"/>
            <w:noWrap/>
            <w:vAlign w:val="bottom"/>
          </w:tcPr>
          <w:p w:rsidR="009C76F9" w:rsidRPr="00AC5579" w:rsidRDefault="00426151" w:rsidP="00426151">
            <w:pPr>
              <w:pStyle w:val="MPBrdtekst"/>
              <w:jc w:val="left"/>
              <w:rPr>
                <w:rFonts w:ascii="Calibri" w:hAnsi="Calibri" w:cs="Calibri"/>
                <w:b/>
                <w:color w:val="FFFFFF"/>
                <w:sz w:val="20"/>
                <w:szCs w:val="20"/>
              </w:rPr>
            </w:pPr>
            <w:r w:rsidRPr="00AC5579">
              <w:rPr>
                <w:rFonts w:ascii="Calibri" w:hAnsi="Calibri" w:cs="Calibri"/>
                <w:b/>
                <w:color w:val="FFFFFF"/>
                <w:sz w:val="20"/>
                <w:szCs w:val="20"/>
              </w:rPr>
              <w:t>Etablerings-omkostninger</w:t>
            </w:r>
          </w:p>
        </w:tc>
        <w:tc>
          <w:tcPr>
            <w:tcW w:w="1639" w:type="dxa"/>
            <w:shd w:val="clear" w:color="auto" w:fill="A6A6A6"/>
            <w:noWrap/>
            <w:vAlign w:val="bottom"/>
          </w:tcPr>
          <w:p w:rsidR="009C76F9" w:rsidRPr="00AC5579" w:rsidRDefault="009C76F9" w:rsidP="00426151">
            <w:pPr>
              <w:pStyle w:val="MPBrdtekst"/>
              <w:jc w:val="left"/>
              <w:rPr>
                <w:rFonts w:ascii="Calibri" w:hAnsi="Calibri" w:cs="Calibri"/>
                <w:b/>
                <w:color w:val="FFFFFF"/>
                <w:sz w:val="20"/>
                <w:szCs w:val="20"/>
              </w:rPr>
            </w:pPr>
            <w:r w:rsidRPr="00AC5579">
              <w:rPr>
                <w:rFonts w:ascii="Calibri" w:hAnsi="Calibri" w:cs="Calibri"/>
                <w:b/>
                <w:color w:val="FFFFFF"/>
                <w:sz w:val="20"/>
                <w:szCs w:val="20"/>
              </w:rPr>
              <w:t>Årlige drifts</w:t>
            </w:r>
            <w:r w:rsidR="00426151" w:rsidRPr="00AC5579">
              <w:rPr>
                <w:rFonts w:ascii="Calibri" w:hAnsi="Calibri" w:cs="Calibri"/>
                <w:b/>
                <w:color w:val="FFFFFF"/>
                <w:sz w:val="20"/>
                <w:szCs w:val="20"/>
              </w:rPr>
              <w:t>-</w:t>
            </w:r>
            <w:r w:rsidRPr="00AC5579">
              <w:rPr>
                <w:rFonts w:ascii="Calibri" w:hAnsi="Calibri" w:cs="Calibri"/>
                <w:b/>
                <w:color w:val="FFFFFF"/>
                <w:sz w:val="20"/>
                <w:szCs w:val="20"/>
              </w:rPr>
              <w:t>omk</w:t>
            </w:r>
            <w:r w:rsidR="00426151" w:rsidRPr="00AC5579">
              <w:rPr>
                <w:rFonts w:ascii="Calibri" w:hAnsi="Calibri" w:cs="Calibri"/>
                <w:b/>
                <w:color w:val="FFFFFF"/>
                <w:sz w:val="20"/>
                <w:szCs w:val="20"/>
              </w:rPr>
              <w:t>ostninger</w:t>
            </w:r>
          </w:p>
        </w:tc>
      </w:tr>
      <w:tr w:rsidR="00FF7411" w:rsidRPr="00AC5579" w:rsidTr="0013267C">
        <w:trPr>
          <w:trHeight w:val="255"/>
        </w:trPr>
        <w:tc>
          <w:tcPr>
            <w:tcW w:w="4693" w:type="dxa"/>
            <w:shd w:val="clear" w:color="auto" w:fill="auto"/>
            <w:noWrap/>
            <w:vAlign w:val="bottom"/>
          </w:tcPr>
          <w:p w:rsidR="009C76F9" w:rsidRPr="00AC5579" w:rsidRDefault="009C76F9" w:rsidP="00ED78E9">
            <w:pPr>
              <w:jc w:val="left"/>
              <w:rPr>
                <w:rFonts w:cs="Calibri"/>
                <w:b/>
                <w:sz w:val="20"/>
                <w:szCs w:val="20"/>
              </w:rPr>
            </w:pPr>
            <w:r w:rsidRPr="00AC5579">
              <w:rPr>
                <w:rFonts w:cs="Calibri"/>
                <w:b/>
                <w:sz w:val="20"/>
                <w:szCs w:val="20"/>
              </w:rPr>
              <w:t>HW/SW platform</w:t>
            </w:r>
            <w:r w:rsidR="001C40E8" w:rsidRPr="00AC5579">
              <w:rPr>
                <w:rFonts w:cs="Calibri"/>
                <w:b/>
                <w:sz w:val="20"/>
                <w:szCs w:val="20"/>
              </w:rPr>
              <w:t>sudvidelser</w:t>
            </w:r>
          </w:p>
        </w:tc>
        <w:tc>
          <w:tcPr>
            <w:tcW w:w="1701" w:type="dxa"/>
            <w:shd w:val="clear" w:color="auto" w:fill="auto"/>
            <w:noWrap/>
            <w:vAlign w:val="bottom"/>
          </w:tcPr>
          <w:p w:rsidR="009C76F9" w:rsidRPr="00AC5579" w:rsidRDefault="009C76F9" w:rsidP="00ED78E9">
            <w:pPr>
              <w:jc w:val="right"/>
              <w:rPr>
                <w:rFonts w:cs="Calibri"/>
                <w:b/>
                <w:sz w:val="20"/>
                <w:szCs w:val="20"/>
              </w:rPr>
            </w:pPr>
            <w:r w:rsidRPr="00AC5579">
              <w:rPr>
                <w:rFonts w:cs="Calibri"/>
                <w:b/>
                <w:sz w:val="20"/>
                <w:szCs w:val="20"/>
              </w:rPr>
              <w:t>0</w:t>
            </w:r>
          </w:p>
        </w:tc>
        <w:tc>
          <w:tcPr>
            <w:tcW w:w="1639" w:type="dxa"/>
            <w:shd w:val="clear" w:color="auto" w:fill="auto"/>
            <w:noWrap/>
            <w:vAlign w:val="bottom"/>
          </w:tcPr>
          <w:p w:rsidR="009C76F9" w:rsidRPr="00AC5579" w:rsidRDefault="009C76F9" w:rsidP="00ED78E9">
            <w:pPr>
              <w:jc w:val="right"/>
              <w:rPr>
                <w:rFonts w:cs="Calibri"/>
                <w:b/>
                <w:sz w:val="20"/>
                <w:szCs w:val="20"/>
              </w:rPr>
            </w:pPr>
            <w:r w:rsidRPr="00AC5579">
              <w:rPr>
                <w:rFonts w:cs="Calibri"/>
                <w:b/>
                <w:sz w:val="20"/>
                <w:szCs w:val="20"/>
              </w:rPr>
              <w:t>0</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 xml:space="preserve">Platform og database tilretning </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1.458.000</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364.500</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Klienter, GUI og services</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2.551.500</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637.875</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Integrationer</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972.000</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243.000</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Migrering fra nuværende BBR</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1.000.000</w:t>
            </w:r>
          </w:p>
        </w:tc>
        <w:tc>
          <w:tcPr>
            <w:tcW w:w="1639" w:type="dxa"/>
            <w:shd w:val="clear" w:color="auto" w:fill="auto"/>
            <w:noWrap/>
            <w:vAlign w:val="bottom"/>
          </w:tcPr>
          <w:p w:rsidR="009C76F9" w:rsidRPr="00AC5579" w:rsidRDefault="009C76F9" w:rsidP="00ED78E9">
            <w:pPr>
              <w:jc w:val="left"/>
              <w:rPr>
                <w:rFonts w:cs="Calibri"/>
                <w:sz w:val="20"/>
                <w:szCs w:val="20"/>
              </w:rPr>
            </w:pPr>
            <w:r w:rsidRPr="00AC5579">
              <w:rPr>
                <w:rFonts w:cs="Calibri"/>
                <w:sz w:val="20"/>
                <w:szCs w:val="20"/>
              </w:rPr>
              <w:t> </w:t>
            </w:r>
          </w:p>
        </w:tc>
      </w:tr>
      <w:tr w:rsidR="009C76F9" w:rsidRPr="00AC5579" w:rsidTr="00426151">
        <w:trPr>
          <w:trHeight w:val="70"/>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Fælles infrastruktur for bygningsgeokodning</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3.500.000</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875.000</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Ændringsimplement</w:t>
            </w:r>
            <w:r w:rsidR="00FF7411" w:rsidRPr="00AC5579">
              <w:rPr>
                <w:rFonts w:cs="Calibri"/>
                <w:sz w:val="20"/>
                <w:szCs w:val="20"/>
              </w:rPr>
              <w:t>ering</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498.150</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124.538</w:t>
            </w:r>
          </w:p>
        </w:tc>
      </w:tr>
      <w:tr w:rsidR="009C76F9" w:rsidRPr="00AC5579" w:rsidTr="00426151">
        <w:trPr>
          <w:trHeight w:val="255"/>
        </w:trPr>
        <w:tc>
          <w:tcPr>
            <w:tcW w:w="4693" w:type="dxa"/>
            <w:shd w:val="clear" w:color="auto" w:fill="auto"/>
            <w:noWrap/>
            <w:vAlign w:val="bottom"/>
          </w:tcPr>
          <w:p w:rsidR="009C76F9" w:rsidRPr="00AC5579" w:rsidRDefault="00FF7411" w:rsidP="00FF7411">
            <w:pPr>
              <w:ind w:left="229"/>
              <w:jc w:val="left"/>
              <w:rPr>
                <w:rFonts w:cs="Calibri"/>
                <w:sz w:val="20"/>
                <w:szCs w:val="20"/>
              </w:rPr>
            </w:pPr>
            <w:r w:rsidRPr="00AC5579">
              <w:rPr>
                <w:rFonts w:cs="Calibri"/>
                <w:sz w:val="20"/>
                <w:szCs w:val="20"/>
              </w:rPr>
              <w:t>Kravspecifikation</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600.000</w:t>
            </w:r>
          </w:p>
        </w:tc>
        <w:tc>
          <w:tcPr>
            <w:tcW w:w="1639" w:type="dxa"/>
            <w:shd w:val="clear" w:color="auto" w:fill="auto"/>
            <w:noWrap/>
            <w:vAlign w:val="bottom"/>
          </w:tcPr>
          <w:p w:rsidR="009C76F9" w:rsidRPr="00AC5579" w:rsidRDefault="009C76F9" w:rsidP="00ED78E9">
            <w:pPr>
              <w:jc w:val="left"/>
              <w:rPr>
                <w:rFonts w:cs="Calibri"/>
                <w:sz w:val="20"/>
                <w:szCs w:val="20"/>
              </w:rPr>
            </w:pPr>
            <w:r w:rsidRPr="00AC5579">
              <w:rPr>
                <w:rFonts w:cs="Calibri"/>
                <w:sz w:val="20"/>
                <w:szCs w:val="20"/>
              </w:rPr>
              <w:t> </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Datafordeler services</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2.000.000</w:t>
            </w:r>
          </w:p>
        </w:tc>
        <w:tc>
          <w:tcPr>
            <w:tcW w:w="1639" w:type="dxa"/>
            <w:shd w:val="clear" w:color="auto" w:fill="auto"/>
            <w:noWrap/>
            <w:vAlign w:val="bottom"/>
          </w:tcPr>
          <w:p w:rsidR="009C76F9" w:rsidRPr="00AC5579" w:rsidRDefault="009C76F9" w:rsidP="00ED78E9">
            <w:pPr>
              <w:jc w:val="left"/>
              <w:rPr>
                <w:rFonts w:cs="Calibri"/>
                <w:sz w:val="20"/>
                <w:szCs w:val="20"/>
              </w:rPr>
            </w:pPr>
            <w:r w:rsidRPr="00AC5579">
              <w:rPr>
                <w:rFonts w:cs="Calibri"/>
                <w:sz w:val="20"/>
                <w:szCs w:val="20"/>
              </w:rPr>
              <w:t> </w:t>
            </w:r>
          </w:p>
        </w:tc>
      </w:tr>
      <w:tr w:rsidR="00426151" w:rsidRPr="00AC5579" w:rsidTr="0013267C">
        <w:trPr>
          <w:trHeight w:val="255"/>
        </w:trPr>
        <w:tc>
          <w:tcPr>
            <w:tcW w:w="4693" w:type="dxa"/>
            <w:shd w:val="clear" w:color="auto" w:fill="auto"/>
            <w:noWrap/>
            <w:vAlign w:val="bottom"/>
          </w:tcPr>
          <w:p w:rsidR="009C76F9" w:rsidRPr="00AC5579" w:rsidRDefault="009C76F9" w:rsidP="00ED78E9">
            <w:pPr>
              <w:jc w:val="left"/>
              <w:rPr>
                <w:rFonts w:cs="Calibri"/>
                <w:b/>
                <w:bCs/>
                <w:iCs/>
                <w:sz w:val="20"/>
                <w:szCs w:val="20"/>
              </w:rPr>
            </w:pPr>
            <w:r w:rsidRPr="00AC5579">
              <w:rPr>
                <w:rFonts w:cs="Calibri"/>
                <w:b/>
                <w:bCs/>
                <w:iCs/>
                <w:sz w:val="20"/>
                <w:szCs w:val="20"/>
              </w:rPr>
              <w:t>Kravspecifikation og udvikling i alt:</w:t>
            </w:r>
          </w:p>
        </w:tc>
        <w:tc>
          <w:tcPr>
            <w:tcW w:w="1701" w:type="dxa"/>
            <w:shd w:val="clear" w:color="auto" w:fill="auto"/>
            <w:noWrap/>
            <w:vAlign w:val="bottom"/>
          </w:tcPr>
          <w:p w:rsidR="009C76F9" w:rsidRPr="00AC5579" w:rsidRDefault="009C76F9" w:rsidP="00ED78E9">
            <w:pPr>
              <w:jc w:val="right"/>
              <w:rPr>
                <w:rFonts w:cs="Calibri"/>
                <w:b/>
                <w:bCs/>
                <w:iCs/>
                <w:sz w:val="20"/>
                <w:szCs w:val="20"/>
              </w:rPr>
            </w:pPr>
            <w:r w:rsidRPr="00AC5579">
              <w:rPr>
                <w:rFonts w:cs="Calibri"/>
                <w:b/>
                <w:bCs/>
                <w:iCs/>
                <w:sz w:val="20"/>
                <w:szCs w:val="20"/>
              </w:rPr>
              <w:t>12.579.650</w:t>
            </w:r>
          </w:p>
        </w:tc>
        <w:tc>
          <w:tcPr>
            <w:tcW w:w="1639" w:type="dxa"/>
            <w:shd w:val="clear" w:color="auto" w:fill="auto"/>
            <w:noWrap/>
            <w:vAlign w:val="bottom"/>
          </w:tcPr>
          <w:p w:rsidR="009C76F9" w:rsidRPr="00AC5579" w:rsidRDefault="009C76F9" w:rsidP="00ED78E9">
            <w:pPr>
              <w:jc w:val="right"/>
              <w:rPr>
                <w:rFonts w:cs="Calibri"/>
                <w:b/>
                <w:bCs/>
                <w:iCs/>
                <w:sz w:val="20"/>
                <w:szCs w:val="20"/>
              </w:rPr>
            </w:pPr>
            <w:r w:rsidRPr="00AC5579">
              <w:rPr>
                <w:rFonts w:cs="Calibri"/>
                <w:b/>
                <w:bCs/>
                <w:iCs/>
                <w:sz w:val="20"/>
                <w:szCs w:val="20"/>
              </w:rPr>
              <w:t>2.244.913</w:t>
            </w:r>
          </w:p>
        </w:tc>
      </w:tr>
      <w:tr w:rsidR="00426151" w:rsidRPr="00AC5579" w:rsidTr="0013267C">
        <w:trPr>
          <w:trHeight w:val="255"/>
        </w:trPr>
        <w:tc>
          <w:tcPr>
            <w:tcW w:w="4693" w:type="dxa"/>
            <w:shd w:val="clear" w:color="auto" w:fill="auto"/>
            <w:noWrap/>
            <w:vAlign w:val="bottom"/>
          </w:tcPr>
          <w:p w:rsidR="009C76F9" w:rsidRPr="00AC5579" w:rsidRDefault="009C76F9" w:rsidP="00ED78E9">
            <w:pPr>
              <w:jc w:val="left"/>
              <w:rPr>
                <w:rFonts w:cs="Calibri"/>
                <w:b/>
                <w:sz w:val="20"/>
                <w:szCs w:val="20"/>
              </w:rPr>
            </w:pPr>
            <w:r w:rsidRPr="00AC5579">
              <w:rPr>
                <w:rFonts w:cs="Calibri"/>
                <w:b/>
                <w:sz w:val="20"/>
                <w:szCs w:val="20"/>
              </w:rPr>
              <w:t>Datavask BBR</w:t>
            </w:r>
          </w:p>
        </w:tc>
        <w:tc>
          <w:tcPr>
            <w:tcW w:w="1701" w:type="dxa"/>
            <w:shd w:val="clear" w:color="auto" w:fill="auto"/>
            <w:noWrap/>
            <w:vAlign w:val="bottom"/>
          </w:tcPr>
          <w:p w:rsidR="009C76F9" w:rsidRPr="00AC5579" w:rsidRDefault="009C76F9" w:rsidP="00ED78E9">
            <w:pPr>
              <w:jc w:val="right"/>
              <w:rPr>
                <w:rFonts w:cs="Calibri"/>
                <w:b/>
                <w:sz w:val="20"/>
                <w:szCs w:val="20"/>
              </w:rPr>
            </w:pPr>
            <w:r w:rsidRPr="00AC5579">
              <w:rPr>
                <w:rFonts w:cs="Calibri"/>
                <w:b/>
                <w:sz w:val="20"/>
                <w:szCs w:val="20"/>
              </w:rPr>
              <w:t>1.500.000</w:t>
            </w:r>
          </w:p>
        </w:tc>
        <w:tc>
          <w:tcPr>
            <w:tcW w:w="1639" w:type="dxa"/>
            <w:shd w:val="clear" w:color="auto" w:fill="auto"/>
            <w:noWrap/>
            <w:vAlign w:val="bottom"/>
          </w:tcPr>
          <w:p w:rsidR="009C76F9" w:rsidRPr="00AC5579" w:rsidRDefault="009C76F9" w:rsidP="00ED78E9">
            <w:pPr>
              <w:jc w:val="left"/>
              <w:rPr>
                <w:rFonts w:cs="Calibri"/>
                <w:b/>
                <w:sz w:val="20"/>
                <w:szCs w:val="20"/>
              </w:rPr>
            </w:pPr>
            <w:r w:rsidRPr="00AC5579">
              <w:rPr>
                <w:rFonts w:cs="Calibri"/>
                <w:b/>
                <w:sz w:val="20"/>
                <w:szCs w:val="20"/>
              </w:rPr>
              <w:t> </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Projektledelse</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1.057.965</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264.491</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Interessenthåndtering</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400.000</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100.000</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Integrationstest</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498.150</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124.538</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lastRenderedPageBreak/>
              <w:t>Udrulning (inkl. uddannelse)</w:t>
            </w:r>
          </w:p>
        </w:tc>
        <w:tc>
          <w:tcPr>
            <w:tcW w:w="1701"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249.075</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62.269</w:t>
            </w:r>
          </w:p>
        </w:tc>
      </w:tr>
      <w:tr w:rsidR="009C76F9" w:rsidRPr="00AC5579" w:rsidTr="00426151">
        <w:trPr>
          <w:trHeight w:val="255"/>
        </w:trPr>
        <w:tc>
          <w:tcPr>
            <w:tcW w:w="4693" w:type="dxa"/>
            <w:shd w:val="clear" w:color="auto" w:fill="auto"/>
            <w:noWrap/>
            <w:vAlign w:val="bottom"/>
          </w:tcPr>
          <w:p w:rsidR="009C76F9" w:rsidRPr="00AC5579" w:rsidRDefault="009C76F9" w:rsidP="00FF7411">
            <w:pPr>
              <w:ind w:left="229"/>
              <w:jc w:val="left"/>
              <w:rPr>
                <w:rFonts w:cs="Calibri"/>
                <w:sz w:val="20"/>
                <w:szCs w:val="20"/>
              </w:rPr>
            </w:pPr>
            <w:r w:rsidRPr="00AC5579">
              <w:rPr>
                <w:rFonts w:cs="Calibri"/>
                <w:sz w:val="20"/>
                <w:szCs w:val="20"/>
              </w:rPr>
              <w:t>Udfasning af best</w:t>
            </w:r>
            <w:r w:rsidR="00FF7411" w:rsidRPr="00AC5579">
              <w:rPr>
                <w:rFonts w:cs="Calibri"/>
                <w:sz w:val="20"/>
                <w:szCs w:val="20"/>
              </w:rPr>
              <w:t>ående</w:t>
            </w:r>
            <w:r w:rsidRPr="00AC5579">
              <w:rPr>
                <w:rFonts w:cs="Calibri"/>
                <w:sz w:val="20"/>
                <w:szCs w:val="20"/>
              </w:rPr>
              <w:t xml:space="preserve"> sys</w:t>
            </w:r>
            <w:r w:rsidR="00FF7411" w:rsidRPr="00AC5579">
              <w:rPr>
                <w:rFonts w:cs="Calibri"/>
                <w:sz w:val="20"/>
                <w:szCs w:val="20"/>
              </w:rPr>
              <w:t>temer</w:t>
            </w:r>
          </w:p>
        </w:tc>
        <w:tc>
          <w:tcPr>
            <w:tcW w:w="1701" w:type="dxa"/>
            <w:shd w:val="clear" w:color="auto" w:fill="auto"/>
            <w:noWrap/>
            <w:vAlign w:val="bottom"/>
          </w:tcPr>
          <w:p w:rsidR="009C76F9" w:rsidRPr="00AC5579" w:rsidRDefault="009C76F9" w:rsidP="00ED78E9">
            <w:pPr>
              <w:jc w:val="left"/>
              <w:rPr>
                <w:rFonts w:cs="Calibri"/>
                <w:sz w:val="20"/>
                <w:szCs w:val="20"/>
              </w:rPr>
            </w:pPr>
            <w:r w:rsidRPr="00AC5579">
              <w:rPr>
                <w:rFonts w:cs="Calibri"/>
                <w:sz w:val="20"/>
                <w:szCs w:val="20"/>
              </w:rPr>
              <w:t> </w:t>
            </w:r>
          </w:p>
        </w:tc>
        <w:tc>
          <w:tcPr>
            <w:tcW w:w="1639" w:type="dxa"/>
            <w:shd w:val="clear" w:color="auto" w:fill="auto"/>
            <w:noWrap/>
            <w:vAlign w:val="bottom"/>
          </w:tcPr>
          <w:p w:rsidR="009C76F9" w:rsidRPr="00AC5579" w:rsidRDefault="009C76F9" w:rsidP="00ED78E9">
            <w:pPr>
              <w:jc w:val="right"/>
              <w:rPr>
                <w:rFonts w:cs="Calibri"/>
                <w:sz w:val="20"/>
                <w:szCs w:val="20"/>
              </w:rPr>
            </w:pPr>
            <w:r w:rsidRPr="00AC5579">
              <w:rPr>
                <w:rFonts w:cs="Calibri"/>
                <w:sz w:val="20"/>
                <w:szCs w:val="20"/>
              </w:rPr>
              <w:t>0</w:t>
            </w:r>
          </w:p>
        </w:tc>
      </w:tr>
      <w:tr w:rsidR="00426151" w:rsidRPr="00AC5579" w:rsidTr="0013267C">
        <w:trPr>
          <w:trHeight w:val="270"/>
        </w:trPr>
        <w:tc>
          <w:tcPr>
            <w:tcW w:w="4693" w:type="dxa"/>
            <w:shd w:val="clear" w:color="auto" w:fill="auto"/>
            <w:noWrap/>
            <w:vAlign w:val="bottom"/>
          </w:tcPr>
          <w:p w:rsidR="009C76F9" w:rsidRPr="00AC5579" w:rsidRDefault="00892CC5" w:rsidP="00ED78E9">
            <w:pPr>
              <w:jc w:val="left"/>
              <w:rPr>
                <w:rFonts w:cs="Calibri"/>
                <w:b/>
                <w:bCs/>
                <w:iCs/>
                <w:sz w:val="20"/>
                <w:szCs w:val="20"/>
              </w:rPr>
            </w:pPr>
            <w:r w:rsidRPr="00AC5579">
              <w:rPr>
                <w:rFonts w:cs="Calibri"/>
                <w:b/>
                <w:bCs/>
                <w:iCs/>
                <w:sz w:val="20"/>
                <w:szCs w:val="20"/>
              </w:rPr>
              <w:t>Projektomkostninge</w:t>
            </w:r>
            <w:r w:rsidR="00183898" w:rsidRPr="00AC5579">
              <w:rPr>
                <w:rFonts w:cs="Calibri"/>
                <w:b/>
                <w:bCs/>
                <w:iCs/>
                <w:sz w:val="20"/>
                <w:szCs w:val="20"/>
              </w:rPr>
              <w:t>r</w:t>
            </w:r>
            <w:r w:rsidR="009C76F9" w:rsidRPr="00AC5579">
              <w:rPr>
                <w:rFonts w:cs="Calibri"/>
                <w:b/>
                <w:bCs/>
                <w:iCs/>
                <w:sz w:val="20"/>
                <w:szCs w:val="20"/>
              </w:rPr>
              <w:t xml:space="preserve"> i alt </w:t>
            </w:r>
          </w:p>
        </w:tc>
        <w:tc>
          <w:tcPr>
            <w:tcW w:w="1701" w:type="dxa"/>
            <w:shd w:val="clear" w:color="auto" w:fill="auto"/>
            <w:noWrap/>
            <w:vAlign w:val="bottom"/>
          </w:tcPr>
          <w:p w:rsidR="009C76F9" w:rsidRPr="00AC5579" w:rsidRDefault="009C76F9" w:rsidP="00ED78E9">
            <w:pPr>
              <w:jc w:val="right"/>
              <w:rPr>
                <w:rFonts w:cs="Calibri"/>
                <w:b/>
                <w:bCs/>
                <w:iCs/>
                <w:sz w:val="20"/>
                <w:szCs w:val="20"/>
              </w:rPr>
            </w:pPr>
            <w:r w:rsidRPr="00AC5579">
              <w:rPr>
                <w:rFonts w:cs="Calibri"/>
                <w:b/>
                <w:bCs/>
                <w:iCs/>
                <w:sz w:val="20"/>
                <w:szCs w:val="20"/>
              </w:rPr>
              <w:t>2.205.190</w:t>
            </w:r>
          </w:p>
        </w:tc>
        <w:tc>
          <w:tcPr>
            <w:tcW w:w="1639" w:type="dxa"/>
            <w:shd w:val="clear" w:color="auto" w:fill="auto"/>
            <w:noWrap/>
            <w:vAlign w:val="bottom"/>
          </w:tcPr>
          <w:p w:rsidR="009C76F9" w:rsidRPr="00AC5579" w:rsidRDefault="009C76F9" w:rsidP="00ED78E9">
            <w:pPr>
              <w:jc w:val="right"/>
              <w:rPr>
                <w:rFonts w:cs="Calibri"/>
                <w:b/>
                <w:bCs/>
                <w:iCs/>
                <w:sz w:val="20"/>
                <w:szCs w:val="20"/>
              </w:rPr>
            </w:pPr>
            <w:r w:rsidRPr="00AC5579">
              <w:rPr>
                <w:rFonts w:cs="Calibri"/>
                <w:b/>
                <w:bCs/>
                <w:iCs/>
                <w:sz w:val="20"/>
                <w:szCs w:val="20"/>
              </w:rPr>
              <w:t>551.298</w:t>
            </w:r>
          </w:p>
        </w:tc>
      </w:tr>
      <w:tr w:rsidR="00426151" w:rsidRPr="00AC5579" w:rsidTr="00940906">
        <w:trPr>
          <w:trHeight w:val="270"/>
        </w:trPr>
        <w:tc>
          <w:tcPr>
            <w:tcW w:w="4693" w:type="dxa"/>
            <w:shd w:val="clear" w:color="auto" w:fill="C6D9F1"/>
            <w:noWrap/>
            <w:vAlign w:val="bottom"/>
          </w:tcPr>
          <w:p w:rsidR="009C76F9" w:rsidRPr="00AC5579" w:rsidRDefault="00426151" w:rsidP="00ED78E9">
            <w:pPr>
              <w:jc w:val="left"/>
              <w:rPr>
                <w:rFonts w:cs="Calibri"/>
                <w:b/>
                <w:sz w:val="20"/>
                <w:szCs w:val="20"/>
              </w:rPr>
            </w:pPr>
            <w:r w:rsidRPr="00AC5579">
              <w:rPr>
                <w:rFonts w:cs="Calibri"/>
                <w:b/>
                <w:sz w:val="20"/>
                <w:szCs w:val="20"/>
              </w:rPr>
              <w:t>BBR</w:t>
            </w:r>
            <w:r w:rsidR="00FB5A66" w:rsidRPr="00AC5579">
              <w:rPr>
                <w:rFonts w:cs="Calibri"/>
                <w:b/>
                <w:sz w:val="20"/>
                <w:szCs w:val="20"/>
              </w:rPr>
              <w:t>-udvidelsen</w:t>
            </w:r>
            <w:r w:rsidRPr="00AC5579">
              <w:rPr>
                <w:rFonts w:cs="Calibri"/>
                <w:b/>
                <w:sz w:val="20"/>
                <w:szCs w:val="20"/>
              </w:rPr>
              <w:t xml:space="preserve"> i alt</w:t>
            </w:r>
          </w:p>
        </w:tc>
        <w:tc>
          <w:tcPr>
            <w:tcW w:w="1701" w:type="dxa"/>
            <w:shd w:val="clear" w:color="auto" w:fill="C6D9F1"/>
            <w:noWrap/>
            <w:vAlign w:val="bottom"/>
          </w:tcPr>
          <w:p w:rsidR="009C76F9" w:rsidRPr="00AC5579" w:rsidRDefault="009C76F9" w:rsidP="00ED78E9">
            <w:pPr>
              <w:jc w:val="right"/>
              <w:rPr>
                <w:rFonts w:cs="Calibri"/>
                <w:b/>
                <w:sz w:val="20"/>
                <w:szCs w:val="20"/>
              </w:rPr>
            </w:pPr>
            <w:r w:rsidRPr="00AC5579">
              <w:rPr>
                <w:rFonts w:cs="Calibri"/>
                <w:b/>
                <w:sz w:val="20"/>
                <w:szCs w:val="20"/>
              </w:rPr>
              <w:t>16.284.840</w:t>
            </w:r>
          </w:p>
        </w:tc>
        <w:tc>
          <w:tcPr>
            <w:tcW w:w="1639" w:type="dxa"/>
            <w:shd w:val="clear" w:color="auto" w:fill="C6D9F1"/>
            <w:noWrap/>
            <w:vAlign w:val="bottom"/>
          </w:tcPr>
          <w:p w:rsidR="009C76F9" w:rsidRPr="00AC5579" w:rsidRDefault="009C76F9" w:rsidP="00FB5A66">
            <w:pPr>
              <w:keepNext/>
              <w:jc w:val="right"/>
              <w:rPr>
                <w:rFonts w:cs="Calibri"/>
                <w:b/>
                <w:sz w:val="20"/>
                <w:szCs w:val="20"/>
              </w:rPr>
            </w:pPr>
            <w:r w:rsidRPr="00AC5579">
              <w:rPr>
                <w:rFonts w:cs="Calibri"/>
                <w:b/>
                <w:sz w:val="20"/>
                <w:szCs w:val="20"/>
              </w:rPr>
              <w:t>2.796.210</w:t>
            </w:r>
          </w:p>
        </w:tc>
      </w:tr>
    </w:tbl>
    <w:p w:rsidR="00ED78E9" w:rsidRPr="00AC5579" w:rsidRDefault="00FB5A66" w:rsidP="00FB5A66">
      <w:pPr>
        <w:pStyle w:val="Billedtekst"/>
      </w:pPr>
      <w:r w:rsidRPr="00AC5579">
        <w:t xml:space="preserve">Tabel </w:t>
      </w:r>
      <w:r w:rsidR="004B01EA">
        <w:fldChar w:fldCharType="begin"/>
      </w:r>
      <w:r w:rsidR="004B01EA">
        <w:instrText xml:space="preserve"> SEQ Tabel \* ARABIC </w:instrText>
      </w:r>
      <w:r w:rsidR="004B01EA">
        <w:fldChar w:fldCharType="separate"/>
      </w:r>
      <w:r w:rsidR="00B53FEA">
        <w:rPr>
          <w:noProof/>
        </w:rPr>
        <w:t>4</w:t>
      </w:r>
      <w:r w:rsidR="004B01EA">
        <w:rPr>
          <w:noProof/>
        </w:rPr>
        <w:fldChar w:fldCharType="end"/>
      </w:r>
      <w:r w:rsidRPr="00AC5579">
        <w:t>: Estimerede etablerings- og driftsomkostning for udvidelse af BBR i kr.</w:t>
      </w:r>
    </w:p>
    <w:p w:rsidR="00ED78E9" w:rsidRPr="00AC5579" w:rsidRDefault="00ED78E9" w:rsidP="00ED78E9">
      <w:pPr>
        <w:pStyle w:val="Overskrift2"/>
        <w:rPr>
          <w:lang w:val="da-DK"/>
        </w:rPr>
      </w:pPr>
      <w:bookmarkStart w:id="128" w:name="_Toc341024673"/>
      <w:r w:rsidRPr="00AC5579">
        <w:rPr>
          <w:lang w:val="da-DK"/>
        </w:rPr>
        <w:t>Kommunerne</w:t>
      </w:r>
      <w:bookmarkEnd w:id="128"/>
    </w:p>
    <w:p w:rsidR="00D2658F" w:rsidRPr="00AC5579" w:rsidRDefault="00426151" w:rsidP="00ED78E9">
      <w:r w:rsidRPr="00AC5579">
        <w:t xml:space="preserve"> </w:t>
      </w:r>
    </w:p>
    <w:tbl>
      <w:tblPr>
        <w:tblW w:w="8540" w:type="dxa"/>
        <w:tblInd w:w="55" w:type="dxa"/>
        <w:tblCellMar>
          <w:left w:w="70" w:type="dxa"/>
          <w:right w:w="70" w:type="dxa"/>
        </w:tblCellMar>
        <w:tblLook w:val="04A0" w:firstRow="1" w:lastRow="0" w:firstColumn="1" w:lastColumn="0" w:noHBand="0" w:noVBand="1"/>
      </w:tblPr>
      <w:tblGrid>
        <w:gridCol w:w="2760"/>
        <w:gridCol w:w="480"/>
        <w:gridCol w:w="480"/>
        <w:gridCol w:w="480"/>
        <w:gridCol w:w="480"/>
        <w:gridCol w:w="480"/>
        <w:gridCol w:w="480"/>
        <w:gridCol w:w="480"/>
        <w:gridCol w:w="480"/>
        <w:gridCol w:w="480"/>
        <w:gridCol w:w="480"/>
        <w:gridCol w:w="480"/>
        <w:gridCol w:w="500"/>
      </w:tblGrid>
      <w:tr w:rsidR="00D2658F" w:rsidRPr="00D2658F" w:rsidTr="00D2658F">
        <w:trPr>
          <w:trHeight w:val="312"/>
        </w:trPr>
        <w:tc>
          <w:tcPr>
            <w:tcW w:w="2760" w:type="dxa"/>
            <w:tcBorders>
              <w:top w:val="single" w:sz="8" w:space="0" w:color="auto"/>
              <w:left w:val="single" w:sz="8" w:space="0" w:color="auto"/>
              <w:bottom w:val="single" w:sz="8" w:space="0" w:color="auto"/>
              <w:right w:val="nil"/>
            </w:tcBorders>
            <w:shd w:val="clear" w:color="000000" w:fill="A6A6A6"/>
            <w:noWrap/>
            <w:vAlign w:val="bottom"/>
            <w:hideMark/>
          </w:tcPr>
          <w:p w:rsidR="00D2658F" w:rsidRPr="00D2658F" w:rsidRDefault="00D2658F" w:rsidP="00D2658F">
            <w:pPr>
              <w:jc w:val="left"/>
              <w:rPr>
                <w:rFonts w:cs="Arial"/>
                <w:b/>
                <w:bCs/>
                <w:color w:val="FFFFFF"/>
                <w:sz w:val="12"/>
                <w:szCs w:val="10"/>
              </w:rPr>
            </w:pPr>
            <w:r w:rsidRPr="00D2658F">
              <w:rPr>
                <w:rFonts w:cs="Arial"/>
                <w:b/>
                <w:bCs/>
                <w:color w:val="FFFFFF"/>
                <w:sz w:val="12"/>
                <w:szCs w:val="10"/>
              </w:rPr>
              <w:t>AKTIVITET</w:t>
            </w:r>
          </w:p>
        </w:tc>
        <w:tc>
          <w:tcPr>
            <w:tcW w:w="48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2013</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2014</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2015</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2016</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2017</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2018</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2019</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2020</w:t>
            </w:r>
          </w:p>
        </w:tc>
        <w:tc>
          <w:tcPr>
            <w:tcW w:w="480"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2021</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2022</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2023</w:t>
            </w:r>
          </w:p>
        </w:tc>
        <w:tc>
          <w:tcPr>
            <w:tcW w:w="500"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2013 -</w:t>
            </w:r>
            <w:r w:rsidRPr="00D2658F">
              <w:rPr>
                <w:rFonts w:cs="Arial"/>
                <w:b/>
                <w:bCs/>
                <w:color w:val="FFFFFF"/>
                <w:sz w:val="12"/>
                <w:szCs w:val="10"/>
              </w:rPr>
              <w:br/>
              <w:t xml:space="preserve">2023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Datavask</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color w:val="FF0000"/>
                <w:sz w:val="12"/>
                <w:szCs w:val="10"/>
              </w:rPr>
            </w:pPr>
            <w:r w:rsidRPr="00D2658F">
              <w:rPr>
                <w:rFonts w:cs="Arial"/>
                <w:color w:val="FF0000"/>
                <w:sz w:val="12"/>
                <w:szCs w:val="10"/>
              </w:rPr>
              <w:t xml:space="preserve">-0,67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-1,33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-2,00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It-udvikling (ejendomsdata viewer)</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-1,00 </w:t>
            </w:r>
          </w:p>
        </w:tc>
      </w:tr>
      <w:tr w:rsidR="00D2658F" w:rsidRPr="00D2658F" w:rsidTr="00B76855">
        <w:trPr>
          <w:trHeight w:val="228"/>
        </w:trPr>
        <w:tc>
          <w:tcPr>
            <w:tcW w:w="2760" w:type="dxa"/>
            <w:tcBorders>
              <w:top w:val="nil"/>
              <w:left w:val="single" w:sz="8" w:space="0" w:color="auto"/>
              <w:bottom w:val="single" w:sz="8" w:space="0" w:color="auto"/>
              <w:right w:val="single" w:sz="8" w:space="0" w:color="auto"/>
            </w:tcBorders>
            <w:shd w:val="clear" w:color="auto" w:fill="C6D9F1" w:themeFill="text2" w:themeFillTint="33"/>
            <w:vAlign w:val="center"/>
            <w:hideMark/>
          </w:tcPr>
          <w:p w:rsidR="00D2658F" w:rsidRPr="00D2658F" w:rsidRDefault="00D2658F" w:rsidP="00B76855">
            <w:pPr>
              <w:jc w:val="left"/>
              <w:rPr>
                <w:rFonts w:cs="Arial"/>
                <w:b/>
                <w:bCs/>
                <w:sz w:val="12"/>
                <w:szCs w:val="10"/>
              </w:rPr>
            </w:pPr>
            <w:r w:rsidRPr="00D2658F">
              <w:rPr>
                <w:rFonts w:cs="Arial"/>
                <w:b/>
                <w:bCs/>
                <w:sz w:val="12"/>
                <w:szCs w:val="10"/>
              </w:rPr>
              <w:t>Kommunerne i alt</w:t>
            </w:r>
          </w:p>
        </w:tc>
        <w:tc>
          <w:tcPr>
            <w:tcW w:w="480" w:type="dxa"/>
            <w:tcBorders>
              <w:top w:val="nil"/>
              <w:left w:val="nil"/>
              <w:bottom w:val="single" w:sz="8" w:space="0" w:color="auto"/>
              <w:right w:val="single" w:sz="4" w:space="0" w:color="auto"/>
            </w:tcBorders>
            <w:shd w:val="clear" w:color="auto" w:fill="C6D9F1" w:themeFill="text2" w:themeFillTint="33"/>
            <w:vAlign w:val="center"/>
            <w:hideMark/>
          </w:tcPr>
          <w:p w:rsidR="00D2658F" w:rsidRPr="00D2658F" w:rsidRDefault="00D2658F" w:rsidP="00D2658F">
            <w:pPr>
              <w:jc w:val="right"/>
              <w:rPr>
                <w:rFonts w:cs="Arial"/>
                <w:b/>
                <w:color w:val="FF0000"/>
                <w:sz w:val="12"/>
                <w:szCs w:val="10"/>
              </w:rPr>
            </w:pPr>
            <w:r w:rsidRPr="00D2658F">
              <w:rPr>
                <w:rFonts w:cs="Arial"/>
                <w:b/>
                <w:color w:val="FF0000"/>
                <w:sz w:val="12"/>
                <w:szCs w:val="10"/>
              </w:rPr>
              <w:t xml:space="preserve">-0,67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-2,33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sz w:val="12"/>
                <w:szCs w:val="10"/>
              </w:rPr>
              <w:t xml:space="preserve">0,00 </w:t>
            </w:r>
          </w:p>
        </w:tc>
        <w:tc>
          <w:tcPr>
            <w:tcW w:w="480" w:type="dxa"/>
            <w:tcBorders>
              <w:top w:val="nil"/>
              <w:left w:val="nil"/>
              <w:bottom w:val="single" w:sz="8" w:space="0" w:color="auto"/>
              <w:right w:val="nil"/>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sz w:val="12"/>
                <w:szCs w:val="10"/>
              </w:rPr>
              <w:t xml:space="preserve">0,00 </w:t>
            </w:r>
          </w:p>
        </w:tc>
        <w:tc>
          <w:tcPr>
            <w:tcW w:w="480" w:type="dxa"/>
            <w:tcBorders>
              <w:top w:val="nil"/>
              <w:left w:val="single" w:sz="4" w:space="0" w:color="auto"/>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sz w:val="12"/>
                <w:szCs w:val="10"/>
              </w:rPr>
              <w:t xml:space="preserve">0,00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sz w:val="12"/>
                <w:szCs w:val="10"/>
              </w:rPr>
              <w:t xml:space="preserve">0,00 </w:t>
            </w:r>
          </w:p>
        </w:tc>
        <w:tc>
          <w:tcPr>
            <w:tcW w:w="480" w:type="dxa"/>
            <w:tcBorders>
              <w:top w:val="nil"/>
              <w:left w:val="nil"/>
              <w:bottom w:val="single" w:sz="8" w:space="0" w:color="auto"/>
              <w:right w:val="nil"/>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sz w:val="12"/>
                <w:szCs w:val="10"/>
              </w:rPr>
              <w:t xml:space="preserve">0,00 </w:t>
            </w:r>
          </w:p>
        </w:tc>
        <w:tc>
          <w:tcPr>
            <w:tcW w:w="500" w:type="dxa"/>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rsidR="00D2658F" w:rsidRPr="00D2658F" w:rsidRDefault="00D2658F" w:rsidP="00D2658F">
            <w:pPr>
              <w:jc w:val="right"/>
              <w:rPr>
                <w:rFonts w:cs="Arial"/>
                <w:b/>
                <w:sz w:val="12"/>
                <w:szCs w:val="10"/>
              </w:rPr>
            </w:pPr>
            <w:r w:rsidRPr="00D2658F">
              <w:rPr>
                <w:rFonts w:cs="Arial"/>
                <w:b/>
                <w:color w:val="FF0000"/>
                <w:sz w:val="12"/>
                <w:szCs w:val="10"/>
              </w:rPr>
              <w:t xml:space="preserve">-3,00 </w:t>
            </w:r>
          </w:p>
        </w:tc>
      </w:tr>
    </w:tbl>
    <w:p w:rsidR="00ED78E9" w:rsidRPr="00AC5579" w:rsidRDefault="00252534" w:rsidP="004C664A">
      <w:pPr>
        <w:pStyle w:val="Billedtekst"/>
      </w:pPr>
      <w:r w:rsidRPr="00AC5579">
        <w:t xml:space="preserve">Tabel </w:t>
      </w:r>
      <w:r w:rsidR="004B01EA">
        <w:fldChar w:fldCharType="begin"/>
      </w:r>
      <w:r w:rsidR="004B01EA">
        <w:instrText xml:space="preserve"> SEQ Tabel \* ARABIC </w:instrText>
      </w:r>
      <w:r w:rsidR="004B01EA">
        <w:fldChar w:fldCharType="separate"/>
      </w:r>
      <w:r w:rsidR="00B53FEA">
        <w:rPr>
          <w:noProof/>
        </w:rPr>
        <w:t>5</w:t>
      </w:r>
      <w:r w:rsidR="004B01EA">
        <w:rPr>
          <w:noProof/>
        </w:rPr>
        <w:fldChar w:fldCharType="end"/>
      </w:r>
      <w:r w:rsidRPr="00AC5579">
        <w:t xml:space="preserve">: </w:t>
      </w:r>
      <w:r w:rsidR="004C664A">
        <w:t>B</w:t>
      </w:r>
      <w:r w:rsidR="004C664A" w:rsidRPr="00AC5579">
        <w:t xml:space="preserve">udget </w:t>
      </w:r>
      <w:r w:rsidR="004C664A">
        <w:t xml:space="preserve">(mio. kr) </w:t>
      </w:r>
      <w:r w:rsidR="004C664A" w:rsidRPr="00AC5579">
        <w:t xml:space="preserve">for </w:t>
      </w:r>
      <w:r w:rsidR="004C664A">
        <w:t>KL/kommunernes</w:t>
      </w:r>
      <w:r w:rsidR="004C664A" w:rsidRPr="00AC5579">
        <w:t xml:space="preserve"> medvirken i gennemførelse af </w:t>
      </w:r>
      <w:r w:rsidR="004C664A">
        <w:t>delaftale 1</w:t>
      </w:r>
      <w:r w:rsidR="004C664A" w:rsidRPr="00AC5579">
        <w:t xml:space="preserve">: </w:t>
      </w:r>
      <w:r w:rsidR="007E4401">
        <w:t>Effektiv ejendomsforvaltning</w:t>
      </w:r>
      <w:r w:rsidR="004C664A" w:rsidRPr="00AC5579">
        <w:t xml:space="preserve"> og genbrug af ejendomsdata.</w:t>
      </w:r>
      <w:r w:rsidR="004C664A">
        <w:t xml:space="preserve"> Budgettet er udgiftsbaseret før afskrivninger og risikokorrektion, jf. DIGSTs business case model.</w:t>
      </w:r>
      <w:r w:rsidRPr="00AC5579">
        <w:t xml:space="preserve"> </w:t>
      </w:r>
    </w:p>
    <w:p w:rsidR="00ED78E9" w:rsidRPr="00AC5579" w:rsidRDefault="00D2658F" w:rsidP="00ED78E9">
      <w:pPr>
        <w:pStyle w:val="Overskrift2"/>
        <w:rPr>
          <w:lang w:val="da-DK"/>
        </w:rPr>
      </w:pPr>
      <w:bookmarkStart w:id="129" w:name="_Toc341024674"/>
      <w:r>
        <w:rPr>
          <w:lang w:val="da-DK"/>
        </w:rPr>
        <w:t>Geodatastyrelsen</w:t>
      </w:r>
      <w:bookmarkEnd w:id="129"/>
    </w:p>
    <w:p w:rsidR="005A7670" w:rsidRPr="00AC5579" w:rsidRDefault="005A7670" w:rsidP="0075338C"/>
    <w:tbl>
      <w:tblPr>
        <w:tblW w:w="8540" w:type="dxa"/>
        <w:tblInd w:w="55" w:type="dxa"/>
        <w:tblCellMar>
          <w:left w:w="70" w:type="dxa"/>
          <w:right w:w="70" w:type="dxa"/>
        </w:tblCellMar>
        <w:tblLook w:val="04A0" w:firstRow="1" w:lastRow="0" w:firstColumn="1" w:lastColumn="0" w:noHBand="0" w:noVBand="1"/>
      </w:tblPr>
      <w:tblGrid>
        <w:gridCol w:w="2760"/>
        <w:gridCol w:w="480"/>
        <w:gridCol w:w="480"/>
        <w:gridCol w:w="480"/>
        <w:gridCol w:w="480"/>
        <w:gridCol w:w="480"/>
        <w:gridCol w:w="480"/>
        <w:gridCol w:w="480"/>
        <w:gridCol w:w="480"/>
        <w:gridCol w:w="480"/>
        <w:gridCol w:w="480"/>
        <w:gridCol w:w="480"/>
        <w:gridCol w:w="500"/>
      </w:tblGrid>
      <w:tr w:rsidR="00D2658F" w:rsidRPr="00D2658F" w:rsidTr="00D2658F">
        <w:trPr>
          <w:trHeight w:val="360"/>
        </w:trPr>
        <w:tc>
          <w:tcPr>
            <w:tcW w:w="2760" w:type="dxa"/>
            <w:tcBorders>
              <w:top w:val="single" w:sz="8" w:space="0" w:color="auto"/>
              <w:left w:val="single" w:sz="8" w:space="0" w:color="auto"/>
              <w:bottom w:val="single" w:sz="8" w:space="0" w:color="auto"/>
              <w:right w:val="nil"/>
            </w:tcBorders>
            <w:shd w:val="clear" w:color="000000" w:fill="A6A6A6"/>
            <w:noWrap/>
            <w:vAlign w:val="bottom"/>
            <w:hideMark/>
          </w:tcPr>
          <w:p w:rsidR="00D2658F" w:rsidRPr="00D2658F" w:rsidRDefault="00D2658F" w:rsidP="00D2658F">
            <w:pPr>
              <w:jc w:val="left"/>
              <w:rPr>
                <w:rFonts w:cs="Arial"/>
                <w:b/>
                <w:bCs/>
                <w:color w:val="FFFFFF"/>
                <w:sz w:val="12"/>
                <w:szCs w:val="10"/>
              </w:rPr>
            </w:pPr>
            <w:r w:rsidRPr="00D2658F">
              <w:rPr>
                <w:rFonts w:cs="Arial"/>
                <w:b/>
                <w:bCs/>
                <w:color w:val="FFFFFF"/>
                <w:sz w:val="12"/>
                <w:szCs w:val="10"/>
              </w:rPr>
              <w:t>AKTIVITET</w:t>
            </w:r>
          </w:p>
        </w:tc>
        <w:tc>
          <w:tcPr>
            <w:tcW w:w="48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2013</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2014</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2015</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2016</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2017</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2018</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2019</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2020</w:t>
            </w:r>
          </w:p>
        </w:tc>
        <w:tc>
          <w:tcPr>
            <w:tcW w:w="480"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2021</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2022</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2023</w:t>
            </w:r>
          </w:p>
        </w:tc>
        <w:tc>
          <w:tcPr>
            <w:tcW w:w="500"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2013 -</w:t>
            </w:r>
            <w:r w:rsidRPr="00D2658F">
              <w:rPr>
                <w:rFonts w:cs="Arial"/>
                <w:b/>
                <w:bCs/>
                <w:color w:val="FFFFFF"/>
                <w:sz w:val="12"/>
                <w:szCs w:val="10"/>
              </w:rPr>
              <w:br/>
              <w:t xml:space="preserve">2023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Projektledelse Matrikel-udvidelse (forretning)</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-2,25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Projektomk. Matriklen</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-0,94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-0,14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-1,78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Udvikling af registerudv. Matriklen (interne)</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-2,55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-1,59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-5,14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Udvikling af registerudv. Matriklen (eksterne)</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-0,60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-9,42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-12,02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000000" w:fill="F2F2F2"/>
            <w:vAlign w:val="center"/>
            <w:hideMark/>
          </w:tcPr>
          <w:p w:rsidR="00D2658F" w:rsidRPr="00D2658F" w:rsidRDefault="00D2658F" w:rsidP="00D2658F">
            <w:pPr>
              <w:jc w:val="left"/>
              <w:outlineLvl w:val="0"/>
              <w:rPr>
                <w:rFonts w:cs="Arial"/>
                <w:sz w:val="12"/>
                <w:szCs w:val="10"/>
              </w:rPr>
            </w:pPr>
            <w:r w:rsidRPr="00D2658F">
              <w:rPr>
                <w:rFonts w:cs="Arial"/>
                <w:sz w:val="12"/>
                <w:szCs w:val="10"/>
              </w:rPr>
              <w:t>Udvikling af registerudvidelse Matrikel i alt</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-4,60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-11,01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-3,00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000000" w:fill="F2F2F2"/>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-18,61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Drift af registerudvidelse Matriklen</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-1,22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-2,43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-2,43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-2,43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-2,43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-2,43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-20,66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Datavask (internt)</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-4,50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Datavask (eksternt)</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-0,46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-6,50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-7,46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000000" w:fill="F2F2F2"/>
            <w:vAlign w:val="center"/>
            <w:hideMark/>
          </w:tcPr>
          <w:p w:rsidR="00D2658F" w:rsidRPr="00D2658F" w:rsidRDefault="00D2658F" w:rsidP="00D2658F">
            <w:pPr>
              <w:jc w:val="left"/>
              <w:outlineLvl w:val="0"/>
              <w:rPr>
                <w:rFonts w:cs="Arial"/>
                <w:sz w:val="12"/>
                <w:szCs w:val="10"/>
              </w:rPr>
            </w:pPr>
            <w:r w:rsidRPr="00D2658F">
              <w:rPr>
                <w:rFonts w:cs="Arial"/>
                <w:sz w:val="12"/>
                <w:szCs w:val="10"/>
              </w:rPr>
              <w:t>Datavask Matriklen i alt</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-1,96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-8,00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000000" w:fill="F2F2F2"/>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-11,96 </w:t>
            </w:r>
          </w:p>
        </w:tc>
      </w:tr>
      <w:tr w:rsidR="00D2658F" w:rsidRPr="00D2658F" w:rsidTr="00D2658F">
        <w:trPr>
          <w:trHeight w:val="228"/>
        </w:trPr>
        <w:tc>
          <w:tcPr>
            <w:tcW w:w="2760" w:type="dxa"/>
            <w:tcBorders>
              <w:top w:val="nil"/>
              <w:left w:val="single" w:sz="8" w:space="0" w:color="auto"/>
              <w:bottom w:val="nil"/>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Ændret proces i Matriklen</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0,58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1,15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1,15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1,15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1,15 </w:t>
            </w:r>
          </w:p>
        </w:tc>
        <w:tc>
          <w:tcPr>
            <w:tcW w:w="480" w:type="dxa"/>
            <w:tcBorders>
              <w:top w:val="nil"/>
              <w:left w:val="nil"/>
              <w:bottom w:val="nil"/>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1,15 </w:t>
            </w:r>
          </w:p>
        </w:tc>
        <w:tc>
          <w:tcPr>
            <w:tcW w:w="480" w:type="dxa"/>
            <w:tcBorders>
              <w:top w:val="nil"/>
              <w:left w:val="single" w:sz="4" w:space="0" w:color="auto"/>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1,15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1,15 </w:t>
            </w:r>
          </w:p>
        </w:tc>
        <w:tc>
          <w:tcPr>
            <w:tcW w:w="480" w:type="dxa"/>
            <w:tcBorders>
              <w:top w:val="nil"/>
              <w:left w:val="nil"/>
              <w:bottom w:val="nil"/>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1,15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sz w:val="12"/>
                <w:szCs w:val="10"/>
              </w:rPr>
              <w:t xml:space="preserve">9,78 </w:t>
            </w:r>
          </w:p>
        </w:tc>
      </w:tr>
      <w:tr w:rsidR="00D2658F" w:rsidRPr="00D2658F" w:rsidTr="00D2658F">
        <w:trPr>
          <w:trHeight w:val="228"/>
        </w:trPr>
        <w:tc>
          <w:tcPr>
            <w:tcW w:w="2760" w:type="dxa"/>
            <w:tcBorders>
              <w:top w:val="single" w:sz="4" w:space="0" w:color="auto"/>
              <w:left w:val="single" w:sz="8" w:space="0" w:color="auto"/>
              <w:bottom w:val="nil"/>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Registrering af ejerlejlighed og BPLG</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-0,43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-0,85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-0,85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-0,85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-0,85 </w:t>
            </w:r>
          </w:p>
        </w:tc>
        <w:tc>
          <w:tcPr>
            <w:tcW w:w="480" w:type="dxa"/>
            <w:tcBorders>
              <w:top w:val="single" w:sz="4" w:space="0" w:color="auto"/>
              <w:left w:val="nil"/>
              <w:bottom w:val="nil"/>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-0,85 </w:t>
            </w:r>
          </w:p>
        </w:tc>
        <w:tc>
          <w:tcPr>
            <w:tcW w:w="480" w:type="dxa"/>
            <w:tcBorders>
              <w:top w:val="single" w:sz="4" w:space="0" w:color="auto"/>
              <w:left w:val="single" w:sz="4" w:space="0" w:color="auto"/>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-0,85 </w:t>
            </w:r>
          </w:p>
        </w:tc>
        <w:tc>
          <w:tcPr>
            <w:tcW w:w="480" w:type="dxa"/>
            <w:tcBorders>
              <w:top w:val="single" w:sz="4" w:space="0" w:color="auto"/>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-0,85 </w:t>
            </w:r>
          </w:p>
        </w:tc>
        <w:tc>
          <w:tcPr>
            <w:tcW w:w="480" w:type="dxa"/>
            <w:tcBorders>
              <w:top w:val="single" w:sz="4" w:space="0" w:color="auto"/>
              <w:left w:val="nil"/>
              <w:bottom w:val="nil"/>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-0,85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-7,23 </w:t>
            </w:r>
          </w:p>
        </w:tc>
      </w:tr>
      <w:tr w:rsidR="00D2658F" w:rsidRPr="00D2658F" w:rsidTr="00B76855">
        <w:trPr>
          <w:trHeight w:val="228"/>
        </w:trPr>
        <w:tc>
          <w:tcPr>
            <w:tcW w:w="2760" w:type="dxa"/>
            <w:tcBorders>
              <w:top w:val="single" w:sz="4" w:space="0" w:color="auto"/>
              <w:left w:val="single" w:sz="8" w:space="0" w:color="auto"/>
              <w:bottom w:val="single" w:sz="8" w:space="0" w:color="auto"/>
              <w:right w:val="single" w:sz="8" w:space="0" w:color="auto"/>
            </w:tcBorders>
            <w:shd w:val="clear" w:color="auto" w:fill="C6D9F1" w:themeFill="text2" w:themeFillTint="33"/>
            <w:vAlign w:val="center"/>
            <w:hideMark/>
          </w:tcPr>
          <w:p w:rsidR="00D2658F" w:rsidRPr="00D2658F" w:rsidRDefault="00D2658F" w:rsidP="00B76855">
            <w:pPr>
              <w:jc w:val="left"/>
              <w:rPr>
                <w:rFonts w:cs="Arial"/>
                <w:b/>
                <w:bCs/>
                <w:sz w:val="12"/>
                <w:szCs w:val="10"/>
              </w:rPr>
            </w:pPr>
            <w:r w:rsidRPr="00D2658F">
              <w:rPr>
                <w:rFonts w:cs="Arial"/>
                <w:b/>
                <w:bCs/>
                <w:sz w:val="12"/>
                <w:szCs w:val="10"/>
              </w:rPr>
              <w:t>GST i alt</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-6,56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-20,70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-6,96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-2,13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-2,13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-2,13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-2,13 </w:t>
            </w:r>
          </w:p>
        </w:tc>
        <w:tc>
          <w:tcPr>
            <w:tcW w:w="480" w:type="dxa"/>
            <w:tcBorders>
              <w:top w:val="single" w:sz="4" w:space="0" w:color="auto"/>
              <w:left w:val="nil"/>
              <w:bottom w:val="single" w:sz="8" w:space="0" w:color="auto"/>
              <w:right w:val="nil"/>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-2,13 </w:t>
            </w:r>
          </w:p>
        </w:tc>
        <w:tc>
          <w:tcPr>
            <w:tcW w:w="480" w:type="dxa"/>
            <w:tcBorders>
              <w:top w:val="single" w:sz="4" w:space="0" w:color="auto"/>
              <w:left w:val="single" w:sz="4" w:space="0" w:color="auto"/>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-2,13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-2,13 </w:t>
            </w:r>
          </w:p>
        </w:tc>
        <w:tc>
          <w:tcPr>
            <w:tcW w:w="480" w:type="dxa"/>
            <w:tcBorders>
              <w:top w:val="single" w:sz="4" w:space="0" w:color="auto"/>
              <w:left w:val="nil"/>
              <w:bottom w:val="single" w:sz="8" w:space="0" w:color="auto"/>
              <w:right w:val="nil"/>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-2,13 </w:t>
            </w:r>
          </w:p>
        </w:tc>
        <w:tc>
          <w:tcPr>
            <w:tcW w:w="500" w:type="dxa"/>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rsidR="00D2658F" w:rsidRPr="00D2658F" w:rsidRDefault="00D2658F" w:rsidP="00D2658F">
            <w:pPr>
              <w:jc w:val="right"/>
              <w:rPr>
                <w:rFonts w:cs="Arial"/>
                <w:b/>
                <w:sz w:val="12"/>
                <w:szCs w:val="10"/>
              </w:rPr>
            </w:pPr>
            <w:r w:rsidRPr="00D2658F">
              <w:rPr>
                <w:rFonts w:cs="Arial"/>
                <w:b/>
                <w:color w:val="FF0000"/>
                <w:sz w:val="12"/>
                <w:szCs w:val="10"/>
              </w:rPr>
              <w:t xml:space="preserve">-51,26 </w:t>
            </w:r>
          </w:p>
        </w:tc>
      </w:tr>
    </w:tbl>
    <w:p w:rsidR="00252534" w:rsidRPr="00AC5579" w:rsidRDefault="002D2A99" w:rsidP="002D2A99">
      <w:pPr>
        <w:pStyle w:val="Billedtekst"/>
      </w:pPr>
      <w:r w:rsidRPr="00AC5579">
        <w:t xml:space="preserve">Tabel </w:t>
      </w:r>
      <w:r w:rsidR="004B01EA">
        <w:fldChar w:fldCharType="begin"/>
      </w:r>
      <w:r w:rsidR="004B01EA">
        <w:instrText xml:space="preserve"> SEQ Tabel \* ARABIC </w:instrText>
      </w:r>
      <w:r w:rsidR="004B01EA">
        <w:fldChar w:fldCharType="separate"/>
      </w:r>
      <w:r w:rsidR="00B53FEA">
        <w:rPr>
          <w:noProof/>
        </w:rPr>
        <w:t>6</w:t>
      </w:r>
      <w:r w:rsidR="004B01EA">
        <w:rPr>
          <w:noProof/>
        </w:rPr>
        <w:fldChar w:fldCharType="end"/>
      </w:r>
      <w:r w:rsidRPr="00AC5579">
        <w:t xml:space="preserve">: </w:t>
      </w:r>
      <w:r w:rsidR="004C664A">
        <w:t>B</w:t>
      </w:r>
      <w:r w:rsidR="004C664A" w:rsidRPr="00AC5579">
        <w:t xml:space="preserve">udget </w:t>
      </w:r>
      <w:r w:rsidR="004C664A">
        <w:t xml:space="preserve">(mio. kr) </w:t>
      </w:r>
      <w:r w:rsidR="004C664A" w:rsidRPr="00AC5579">
        <w:t xml:space="preserve">for </w:t>
      </w:r>
      <w:r w:rsidR="00D2658F">
        <w:t>GST</w:t>
      </w:r>
      <w:r w:rsidR="004C664A">
        <w:t>’</w:t>
      </w:r>
      <w:r w:rsidR="00533A36">
        <w:t>s</w:t>
      </w:r>
      <w:r w:rsidR="004C664A" w:rsidRPr="00AC5579">
        <w:t xml:space="preserve"> medvirken i gennemførelse af </w:t>
      </w:r>
      <w:r w:rsidR="004C664A">
        <w:t>delaftale 1</w:t>
      </w:r>
      <w:r w:rsidR="004C664A" w:rsidRPr="00AC5579">
        <w:t xml:space="preserve">: </w:t>
      </w:r>
      <w:r w:rsidR="007E4401">
        <w:t>Effektiv ejendomsforvaltning</w:t>
      </w:r>
      <w:r w:rsidR="004C664A" w:rsidRPr="00AC5579">
        <w:t xml:space="preserve"> og genbrug af ejendomsdata.</w:t>
      </w:r>
      <w:r w:rsidR="004C664A">
        <w:t xml:space="preserve"> Budgettet er udgiftsbaseret før afskrivninger og risikokorrektion, jf. DIGSTs business case model.</w:t>
      </w:r>
    </w:p>
    <w:p w:rsidR="00252534" w:rsidRPr="00AC5579" w:rsidRDefault="00252534" w:rsidP="0025253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1276"/>
        <w:gridCol w:w="1276"/>
        <w:gridCol w:w="1134"/>
        <w:gridCol w:w="1345"/>
      </w:tblGrid>
      <w:tr w:rsidR="000A5EFD" w:rsidRPr="00AC5579" w:rsidTr="000A5EFD">
        <w:trPr>
          <w:trHeight w:val="270"/>
        </w:trPr>
        <w:tc>
          <w:tcPr>
            <w:tcW w:w="3614" w:type="dxa"/>
            <w:shd w:val="clear" w:color="auto" w:fill="A6A6A6"/>
            <w:noWrap/>
            <w:vAlign w:val="bottom"/>
          </w:tcPr>
          <w:p w:rsidR="000A5EFD" w:rsidRPr="00AC5579" w:rsidRDefault="000A5EFD" w:rsidP="00183898">
            <w:pPr>
              <w:pStyle w:val="MPBrdtekst"/>
              <w:jc w:val="left"/>
              <w:rPr>
                <w:rFonts w:ascii="Calibri" w:hAnsi="Calibri" w:cs="Calibri"/>
                <w:b/>
                <w:color w:val="FFFFFF"/>
                <w:sz w:val="20"/>
                <w:szCs w:val="20"/>
              </w:rPr>
            </w:pPr>
          </w:p>
        </w:tc>
        <w:tc>
          <w:tcPr>
            <w:tcW w:w="3686" w:type="dxa"/>
            <w:gridSpan w:val="3"/>
            <w:shd w:val="clear" w:color="auto" w:fill="A6A6A6"/>
            <w:noWrap/>
            <w:vAlign w:val="bottom"/>
          </w:tcPr>
          <w:p w:rsidR="000A5EFD" w:rsidRPr="00AC5579" w:rsidRDefault="000A5EFD" w:rsidP="00183898">
            <w:pPr>
              <w:pStyle w:val="MPBrdtekst"/>
              <w:jc w:val="left"/>
              <w:rPr>
                <w:rFonts w:ascii="Calibri" w:hAnsi="Calibri" w:cs="Calibri"/>
                <w:b/>
                <w:color w:val="FFFFFF"/>
                <w:sz w:val="20"/>
                <w:szCs w:val="20"/>
              </w:rPr>
            </w:pPr>
            <w:r w:rsidRPr="00AC5579">
              <w:rPr>
                <w:rFonts w:ascii="Calibri" w:hAnsi="Calibri" w:cs="Calibri"/>
                <w:b/>
                <w:color w:val="FFFFFF"/>
                <w:sz w:val="20"/>
                <w:szCs w:val="20"/>
              </w:rPr>
              <w:t>Etableringsomkostninger</w:t>
            </w:r>
          </w:p>
        </w:tc>
        <w:tc>
          <w:tcPr>
            <w:tcW w:w="1345" w:type="dxa"/>
            <w:shd w:val="clear" w:color="auto" w:fill="A6A6A6"/>
            <w:vAlign w:val="bottom"/>
          </w:tcPr>
          <w:p w:rsidR="000A5EFD" w:rsidRPr="00AC5579" w:rsidRDefault="000A5EFD" w:rsidP="00183898">
            <w:pPr>
              <w:pStyle w:val="MPBrdtekst"/>
              <w:jc w:val="left"/>
              <w:rPr>
                <w:rFonts w:ascii="Calibri" w:hAnsi="Calibri" w:cs="Calibri"/>
                <w:b/>
                <w:color w:val="FFFFFF"/>
                <w:sz w:val="20"/>
                <w:szCs w:val="20"/>
              </w:rPr>
            </w:pPr>
          </w:p>
        </w:tc>
      </w:tr>
      <w:tr w:rsidR="000A5EFD" w:rsidRPr="00AC5579" w:rsidTr="000A5EFD">
        <w:trPr>
          <w:trHeight w:val="270"/>
        </w:trPr>
        <w:tc>
          <w:tcPr>
            <w:tcW w:w="3614" w:type="dxa"/>
            <w:shd w:val="clear" w:color="auto" w:fill="A6A6A6"/>
            <w:noWrap/>
            <w:vAlign w:val="bottom"/>
          </w:tcPr>
          <w:p w:rsidR="000A5EFD" w:rsidRPr="00AC5579" w:rsidRDefault="000A5EFD" w:rsidP="00183898">
            <w:pPr>
              <w:pStyle w:val="MPBrdtekst"/>
              <w:jc w:val="left"/>
              <w:rPr>
                <w:rFonts w:ascii="Calibri" w:hAnsi="Calibri" w:cs="Calibri"/>
                <w:b/>
                <w:color w:val="FFFFFF"/>
                <w:sz w:val="20"/>
                <w:szCs w:val="20"/>
              </w:rPr>
            </w:pPr>
            <w:r w:rsidRPr="00AC5579">
              <w:rPr>
                <w:rFonts w:ascii="Calibri" w:hAnsi="Calibri" w:cs="Calibri"/>
                <w:b/>
                <w:color w:val="FFFFFF"/>
                <w:sz w:val="20"/>
                <w:szCs w:val="20"/>
              </w:rPr>
              <w:t xml:space="preserve">Beskrivelse </w:t>
            </w:r>
          </w:p>
        </w:tc>
        <w:tc>
          <w:tcPr>
            <w:tcW w:w="1276" w:type="dxa"/>
            <w:shd w:val="clear" w:color="auto" w:fill="A6A6A6"/>
            <w:noWrap/>
            <w:vAlign w:val="bottom"/>
          </w:tcPr>
          <w:p w:rsidR="000A5EFD" w:rsidRPr="00AC5579" w:rsidRDefault="000A5EFD" w:rsidP="00183898">
            <w:pPr>
              <w:pStyle w:val="MPBrdtekst"/>
              <w:jc w:val="left"/>
              <w:rPr>
                <w:rFonts w:ascii="Calibri" w:hAnsi="Calibri" w:cs="Calibri"/>
                <w:b/>
                <w:color w:val="FFFFFF"/>
                <w:sz w:val="20"/>
                <w:szCs w:val="20"/>
              </w:rPr>
            </w:pPr>
            <w:r w:rsidRPr="00AC5579">
              <w:rPr>
                <w:rFonts w:ascii="Calibri" w:hAnsi="Calibri" w:cs="Calibri"/>
                <w:b/>
                <w:color w:val="FFFFFF"/>
                <w:sz w:val="20"/>
                <w:szCs w:val="20"/>
              </w:rPr>
              <w:t>Interne ressourcer</w:t>
            </w:r>
          </w:p>
        </w:tc>
        <w:tc>
          <w:tcPr>
            <w:tcW w:w="1276" w:type="dxa"/>
            <w:shd w:val="clear" w:color="auto" w:fill="A6A6A6"/>
            <w:noWrap/>
            <w:vAlign w:val="bottom"/>
          </w:tcPr>
          <w:p w:rsidR="000A5EFD" w:rsidRPr="00AC5579" w:rsidRDefault="000A5EFD" w:rsidP="00183898">
            <w:pPr>
              <w:pStyle w:val="MPBrdtekst"/>
              <w:jc w:val="left"/>
              <w:rPr>
                <w:rFonts w:ascii="Calibri" w:hAnsi="Calibri" w:cs="Calibri"/>
                <w:b/>
                <w:color w:val="FFFFFF"/>
                <w:sz w:val="20"/>
                <w:szCs w:val="20"/>
              </w:rPr>
            </w:pPr>
            <w:r w:rsidRPr="00AC5579">
              <w:rPr>
                <w:rFonts w:ascii="Calibri" w:hAnsi="Calibri" w:cs="Calibri"/>
                <w:b/>
                <w:color w:val="FFFFFF"/>
                <w:sz w:val="20"/>
                <w:szCs w:val="20"/>
              </w:rPr>
              <w:t>Eksterne ressourcer</w:t>
            </w:r>
          </w:p>
        </w:tc>
        <w:tc>
          <w:tcPr>
            <w:tcW w:w="1134" w:type="dxa"/>
            <w:shd w:val="clear" w:color="auto" w:fill="A6A6A6"/>
            <w:vAlign w:val="bottom"/>
          </w:tcPr>
          <w:p w:rsidR="000A5EFD" w:rsidRPr="00AC5579" w:rsidRDefault="000A5EFD" w:rsidP="00183898">
            <w:pPr>
              <w:pStyle w:val="MPBrdtekst"/>
              <w:jc w:val="left"/>
              <w:rPr>
                <w:rFonts w:ascii="Calibri" w:hAnsi="Calibri" w:cs="Calibri"/>
                <w:b/>
                <w:color w:val="FFFFFF"/>
                <w:sz w:val="20"/>
                <w:szCs w:val="20"/>
              </w:rPr>
            </w:pPr>
            <w:r w:rsidRPr="00AC5579">
              <w:rPr>
                <w:rFonts w:ascii="Calibri" w:hAnsi="Calibri" w:cs="Calibri"/>
                <w:b/>
                <w:color w:val="FFFFFF"/>
                <w:sz w:val="20"/>
                <w:szCs w:val="20"/>
              </w:rPr>
              <w:t>Total</w:t>
            </w:r>
          </w:p>
        </w:tc>
        <w:tc>
          <w:tcPr>
            <w:tcW w:w="1345" w:type="dxa"/>
            <w:shd w:val="clear" w:color="auto" w:fill="A6A6A6"/>
            <w:vAlign w:val="bottom"/>
          </w:tcPr>
          <w:p w:rsidR="000A5EFD" w:rsidRPr="00AC5579" w:rsidRDefault="000A5EFD" w:rsidP="00183898">
            <w:pPr>
              <w:pStyle w:val="MPBrdtekst"/>
              <w:jc w:val="left"/>
              <w:rPr>
                <w:rFonts w:ascii="Calibri" w:hAnsi="Calibri" w:cs="Calibri"/>
                <w:b/>
                <w:color w:val="FFFFFF"/>
                <w:sz w:val="20"/>
                <w:szCs w:val="20"/>
              </w:rPr>
            </w:pPr>
            <w:r w:rsidRPr="00AC5579">
              <w:rPr>
                <w:rFonts w:ascii="Calibri" w:hAnsi="Calibri" w:cs="Calibri"/>
                <w:b/>
                <w:color w:val="FFFFFF"/>
                <w:sz w:val="20"/>
                <w:szCs w:val="20"/>
              </w:rPr>
              <w:t>Årlige drifts-omkostninger</w:t>
            </w:r>
          </w:p>
        </w:tc>
      </w:tr>
      <w:tr w:rsidR="000A5EFD" w:rsidRPr="00AC5579" w:rsidTr="0013267C">
        <w:trPr>
          <w:trHeight w:val="255"/>
        </w:trPr>
        <w:tc>
          <w:tcPr>
            <w:tcW w:w="3614" w:type="dxa"/>
            <w:shd w:val="clear" w:color="auto" w:fill="auto"/>
            <w:noWrap/>
            <w:vAlign w:val="bottom"/>
          </w:tcPr>
          <w:p w:rsidR="000A5EFD" w:rsidRPr="00AC5579" w:rsidRDefault="000A5EFD">
            <w:pPr>
              <w:rPr>
                <w:rFonts w:cs="Calibri"/>
                <w:b/>
                <w:sz w:val="20"/>
                <w:szCs w:val="20"/>
              </w:rPr>
            </w:pPr>
            <w:r w:rsidRPr="00AC5579">
              <w:rPr>
                <w:rFonts w:cs="Calibri"/>
                <w:b/>
                <w:sz w:val="20"/>
                <w:szCs w:val="20"/>
              </w:rPr>
              <w:t>HW/SW platformsudvidelser</w:t>
            </w:r>
          </w:p>
        </w:tc>
        <w:tc>
          <w:tcPr>
            <w:tcW w:w="1276" w:type="dxa"/>
            <w:shd w:val="clear" w:color="auto" w:fill="auto"/>
            <w:noWrap/>
            <w:vAlign w:val="bottom"/>
          </w:tcPr>
          <w:p w:rsidR="000A5EFD" w:rsidRPr="00AC5579" w:rsidRDefault="000A5EFD">
            <w:pPr>
              <w:rPr>
                <w:rFonts w:cs="Calibri"/>
                <w:b/>
                <w:sz w:val="20"/>
                <w:szCs w:val="20"/>
              </w:rPr>
            </w:pPr>
            <w:r w:rsidRPr="00AC5579">
              <w:rPr>
                <w:rFonts w:cs="Calibri"/>
                <w:b/>
                <w:sz w:val="20"/>
                <w:szCs w:val="20"/>
              </w:rPr>
              <w:t> </w:t>
            </w:r>
          </w:p>
        </w:tc>
        <w:tc>
          <w:tcPr>
            <w:tcW w:w="1276" w:type="dxa"/>
            <w:shd w:val="clear" w:color="auto" w:fill="auto"/>
            <w:noWrap/>
            <w:vAlign w:val="bottom"/>
          </w:tcPr>
          <w:p w:rsidR="000A5EFD" w:rsidRPr="00AC5579" w:rsidRDefault="000A5EFD">
            <w:pPr>
              <w:rPr>
                <w:rFonts w:cs="Calibri"/>
                <w:b/>
                <w:sz w:val="20"/>
                <w:szCs w:val="20"/>
              </w:rPr>
            </w:pPr>
            <w:r w:rsidRPr="00AC5579">
              <w:rPr>
                <w:rFonts w:cs="Calibri"/>
                <w:b/>
                <w:sz w:val="20"/>
                <w:szCs w:val="20"/>
              </w:rPr>
              <w:t> </w:t>
            </w:r>
          </w:p>
        </w:tc>
        <w:tc>
          <w:tcPr>
            <w:tcW w:w="1134" w:type="dxa"/>
            <w:shd w:val="clear" w:color="auto" w:fill="auto"/>
            <w:vAlign w:val="bottom"/>
          </w:tcPr>
          <w:p w:rsidR="000A5EFD" w:rsidRPr="00AC5579" w:rsidRDefault="000A5EFD">
            <w:pPr>
              <w:jc w:val="right"/>
              <w:rPr>
                <w:rFonts w:cs="Calibri"/>
                <w:b/>
                <w:sz w:val="20"/>
                <w:szCs w:val="20"/>
              </w:rPr>
            </w:pPr>
            <w:r w:rsidRPr="00AC5579">
              <w:rPr>
                <w:rFonts w:cs="Calibri"/>
                <w:b/>
                <w:sz w:val="20"/>
                <w:szCs w:val="20"/>
              </w:rPr>
              <w:t>0</w:t>
            </w:r>
          </w:p>
        </w:tc>
        <w:tc>
          <w:tcPr>
            <w:tcW w:w="1345" w:type="dxa"/>
            <w:shd w:val="clear" w:color="auto" w:fill="auto"/>
            <w:vAlign w:val="bottom"/>
          </w:tcPr>
          <w:p w:rsidR="000A5EFD" w:rsidRPr="00AC5579" w:rsidRDefault="000A5EFD">
            <w:pPr>
              <w:jc w:val="right"/>
              <w:rPr>
                <w:rFonts w:cs="Calibri"/>
                <w:b/>
                <w:sz w:val="20"/>
                <w:szCs w:val="20"/>
              </w:rPr>
            </w:pPr>
            <w:r w:rsidRPr="00AC5579">
              <w:rPr>
                <w:rFonts w:cs="Calibri"/>
                <w:b/>
                <w:sz w:val="20"/>
                <w:szCs w:val="20"/>
              </w:rPr>
              <w:t>0</w:t>
            </w:r>
          </w:p>
        </w:tc>
      </w:tr>
      <w:tr w:rsidR="000A5EFD" w:rsidRPr="00AC5579" w:rsidTr="0013267C">
        <w:trPr>
          <w:trHeight w:val="255"/>
        </w:trPr>
        <w:tc>
          <w:tcPr>
            <w:tcW w:w="3614" w:type="dxa"/>
            <w:shd w:val="clear" w:color="auto" w:fill="auto"/>
            <w:noWrap/>
            <w:vAlign w:val="bottom"/>
          </w:tcPr>
          <w:p w:rsidR="000A5EFD" w:rsidRPr="00AC5579" w:rsidRDefault="000A5EFD" w:rsidP="000A5EFD">
            <w:pPr>
              <w:ind w:left="229"/>
              <w:jc w:val="left"/>
              <w:rPr>
                <w:rFonts w:cs="Calibri"/>
                <w:sz w:val="20"/>
                <w:szCs w:val="20"/>
              </w:rPr>
            </w:pPr>
            <w:r w:rsidRPr="00AC5579">
              <w:rPr>
                <w:rFonts w:cs="Calibri"/>
                <w:sz w:val="20"/>
                <w:szCs w:val="20"/>
              </w:rPr>
              <w:t xml:space="preserve">Platform og database etablering </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768.600</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5.490.000</w:t>
            </w:r>
          </w:p>
        </w:tc>
        <w:tc>
          <w:tcPr>
            <w:tcW w:w="1134" w:type="dxa"/>
            <w:shd w:val="clear" w:color="auto" w:fill="auto"/>
            <w:vAlign w:val="bottom"/>
          </w:tcPr>
          <w:p w:rsidR="000A5EFD" w:rsidRPr="00AC5579" w:rsidRDefault="000A5EFD">
            <w:pPr>
              <w:jc w:val="right"/>
              <w:rPr>
                <w:rFonts w:cs="Calibri"/>
                <w:sz w:val="20"/>
                <w:szCs w:val="20"/>
              </w:rPr>
            </w:pPr>
            <w:r w:rsidRPr="00AC5579">
              <w:rPr>
                <w:rFonts w:cs="Calibri"/>
                <w:sz w:val="20"/>
                <w:szCs w:val="20"/>
              </w:rPr>
              <w:t>6.258.600</w:t>
            </w:r>
          </w:p>
        </w:tc>
        <w:tc>
          <w:tcPr>
            <w:tcW w:w="1345" w:type="dxa"/>
            <w:shd w:val="clear" w:color="auto" w:fill="auto"/>
            <w:vAlign w:val="bottom"/>
          </w:tcPr>
          <w:p w:rsidR="000A5EFD" w:rsidRPr="00AC5579" w:rsidRDefault="000A5EFD">
            <w:pPr>
              <w:jc w:val="right"/>
              <w:rPr>
                <w:rFonts w:cs="Calibri"/>
                <w:sz w:val="20"/>
                <w:szCs w:val="20"/>
              </w:rPr>
            </w:pPr>
            <w:r w:rsidRPr="00AC5579">
              <w:rPr>
                <w:rFonts w:cs="Calibri"/>
                <w:sz w:val="20"/>
                <w:szCs w:val="20"/>
              </w:rPr>
              <w:t>1.251.720</w:t>
            </w:r>
          </w:p>
        </w:tc>
      </w:tr>
      <w:tr w:rsidR="000A5EFD" w:rsidRPr="00AC5579" w:rsidTr="0013267C">
        <w:trPr>
          <w:trHeight w:val="255"/>
        </w:trPr>
        <w:tc>
          <w:tcPr>
            <w:tcW w:w="3614" w:type="dxa"/>
            <w:shd w:val="clear" w:color="auto" w:fill="auto"/>
            <w:noWrap/>
            <w:vAlign w:val="bottom"/>
          </w:tcPr>
          <w:p w:rsidR="000A5EFD" w:rsidRPr="00AC5579" w:rsidRDefault="000A5EFD" w:rsidP="000A5EFD">
            <w:pPr>
              <w:ind w:left="229"/>
              <w:jc w:val="left"/>
              <w:rPr>
                <w:rFonts w:cs="Calibri"/>
                <w:sz w:val="20"/>
                <w:szCs w:val="20"/>
              </w:rPr>
            </w:pPr>
            <w:r w:rsidRPr="00AC5579">
              <w:rPr>
                <w:rFonts w:cs="Calibri"/>
                <w:sz w:val="20"/>
                <w:szCs w:val="20"/>
              </w:rPr>
              <w:t>Klienter, GUI og services</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547.200</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2.520.000</w:t>
            </w:r>
          </w:p>
        </w:tc>
        <w:tc>
          <w:tcPr>
            <w:tcW w:w="1134" w:type="dxa"/>
            <w:shd w:val="clear" w:color="auto" w:fill="auto"/>
            <w:vAlign w:val="bottom"/>
          </w:tcPr>
          <w:p w:rsidR="000A5EFD" w:rsidRPr="00AC5579" w:rsidRDefault="000A5EFD">
            <w:pPr>
              <w:jc w:val="right"/>
              <w:rPr>
                <w:rFonts w:cs="Calibri"/>
                <w:sz w:val="20"/>
                <w:szCs w:val="20"/>
              </w:rPr>
            </w:pPr>
            <w:r w:rsidRPr="00AC5579">
              <w:rPr>
                <w:rFonts w:cs="Calibri"/>
                <w:sz w:val="20"/>
                <w:szCs w:val="20"/>
              </w:rPr>
              <w:t>3.067.200</w:t>
            </w:r>
          </w:p>
        </w:tc>
        <w:tc>
          <w:tcPr>
            <w:tcW w:w="1345" w:type="dxa"/>
            <w:shd w:val="clear" w:color="auto" w:fill="auto"/>
            <w:vAlign w:val="bottom"/>
          </w:tcPr>
          <w:p w:rsidR="000A5EFD" w:rsidRPr="00AC5579" w:rsidRDefault="000A5EFD">
            <w:pPr>
              <w:jc w:val="right"/>
              <w:rPr>
                <w:rFonts w:cs="Calibri"/>
                <w:sz w:val="20"/>
                <w:szCs w:val="20"/>
              </w:rPr>
            </w:pPr>
            <w:r w:rsidRPr="00AC5579">
              <w:rPr>
                <w:rFonts w:cs="Calibri"/>
                <w:sz w:val="20"/>
                <w:szCs w:val="20"/>
              </w:rPr>
              <w:t>613.440</w:t>
            </w:r>
          </w:p>
        </w:tc>
      </w:tr>
      <w:tr w:rsidR="000A5EFD" w:rsidRPr="00AC5579" w:rsidTr="0013267C">
        <w:trPr>
          <w:trHeight w:val="220"/>
        </w:trPr>
        <w:tc>
          <w:tcPr>
            <w:tcW w:w="3614" w:type="dxa"/>
            <w:shd w:val="clear" w:color="auto" w:fill="auto"/>
            <w:noWrap/>
            <w:vAlign w:val="bottom"/>
          </w:tcPr>
          <w:p w:rsidR="000A5EFD" w:rsidRPr="00AC5579" w:rsidRDefault="000A5EFD" w:rsidP="000A5EFD">
            <w:pPr>
              <w:ind w:left="229"/>
              <w:jc w:val="left"/>
              <w:rPr>
                <w:rFonts w:cs="Calibri"/>
                <w:sz w:val="20"/>
                <w:szCs w:val="20"/>
              </w:rPr>
            </w:pPr>
            <w:r w:rsidRPr="00AC5579">
              <w:rPr>
                <w:rFonts w:cs="Calibri"/>
                <w:sz w:val="20"/>
                <w:szCs w:val="20"/>
              </w:rPr>
              <w:t>Integrationer</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1.263.600</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0</w:t>
            </w:r>
          </w:p>
        </w:tc>
        <w:tc>
          <w:tcPr>
            <w:tcW w:w="1134" w:type="dxa"/>
            <w:shd w:val="clear" w:color="auto" w:fill="auto"/>
            <w:vAlign w:val="bottom"/>
          </w:tcPr>
          <w:p w:rsidR="000A5EFD" w:rsidRPr="00AC5579" w:rsidRDefault="000A5EFD" w:rsidP="000C24C9">
            <w:pPr>
              <w:jc w:val="right"/>
              <w:rPr>
                <w:rFonts w:cs="Calibri"/>
                <w:sz w:val="20"/>
                <w:szCs w:val="20"/>
              </w:rPr>
            </w:pPr>
            <w:r w:rsidRPr="00AC5579">
              <w:rPr>
                <w:rFonts w:cs="Calibri"/>
                <w:sz w:val="20"/>
                <w:szCs w:val="20"/>
              </w:rPr>
              <w:t> </w:t>
            </w:r>
            <w:r w:rsidR="00A17A6B" w:rsidRPr="00AC5579">
              <w:rPr>
                <w:rFonts w:cs="Calibri"/>
                <w:sz w:val="20"/>
                <w:szCs w:val="20"/>
              </w:rPr>
              <w:t>1.263.600</w:t>
            </w:r>
          </w:p>
        </w:tc>
        <w:tc>
          <w:tcPr>
            <w:tcW w:w="1345" w:type="dxa"/>
            <w:shd w:val="clear" w:color="auto" w:fill="auto"/>
            <w:vAlign w:val="bottom"/>
          </w:tcPr>
          <w:p w:rsidR="000A5EFD" w:rsidRPr="00AC5579" w:rsidRDefault="00A17A6B" w:rsidP="00A17A6B">
            <w:pPr>
              <w:jc w:val="right"/>
              <w:rPr>
                <w:rFonts w:cs="Calibri"/>
                <w:sz w:val="20"/>
                <w:szCs w:val="20"/>
              </w:rPr>
            </w:pPr>
            <w:r w:rsidRPr="00AC5579">
              <w:rPr>
                <w:rFonts w:cs="Calibri"/>
                <w:sz w:val="20"/>
                <w:szCs w:val="20"/>
              </w:rPr>
              <w:t>252.720</w:t>
            </w:r>
          </w:p>
        </w:tc>
      </w:tr>
      <w:tr w:rsidR="00222B47" w:rsidRPr="00AC5579" w:rsidTr="0013267C">
        <w:trPr>
          <w:trHeight w:val="255"/>
        </w:trPr>
        <w:tc>
          <w:tcPr>
            <w:tcW w:w="3614" w:type="dxa"/>
            <w:shd w:val="clear" w:color="auto" w:fill="auto"/>
            <w:noWrap/>
            <w:vAlign w:val="bottom"/>
          </w:tcPr>
          <w:p w:rsidR="00222B47" w:rsidRPr="00AC5579" w:rsidRDefault="00222B47" w:rsidP="000A5EFD">
            <w:pPr>
              <w:ind w:left="229"/>
              <w:jc w:val="left"/>
              <w:rPr>
                <w:rFonts w:cs="Calibri"/>
                <w:sz w:val="20"/>
                <w:szCs w:val="20"/>
              </w:rPr>
            </w:pPr>
            <w:r w:rsidRPr="00AC5579">
              <w:rPr>
                <w:rFonts w:cs="Calibri"/>
                <w:sz w:val="20"/>
                <w:szCs w:val="20"/>
              </w:rPr>
              <w:t>Migrering fra nuværende Matrikel</w:t>
            </w:r>
          </w:p>
        </w:tc>
        <w:tc>
          <w:tcPr>
            <w:tcW w:w="1276" w:type="dxa"/>
            <w:shd w:val="clear" w:color="auto" w:fill="auto"/>
            <w:noWrap/>
            <w:vAlign w:val="bottom"/>
          </w:tcPr>
          <w:p w:rsidR="00222B47" w:rsidRPr="00AC5579" w:rsidRDefault="00222B47">
            <w:pPr>
              <w:jc w:val="right"/>
              <w:rPr>
                <w:rFonts w:cs="Calibri"/>
                <w:sz w:val="20"/>
                <w:szCs w:val="20"/>
              </w:rPr>
            </w:pPr>
            <w:r w:rsidRPr="00AC5579">
              <w:rPr>
                <w:rFonts w:cs="Calibri"/>
                <w:sz w:val="20"/>
                <w:szCs w:val="20"/>
              </w:rPr>
              <w:t>0</w:t>
            </w:r>
          </w:p>
        </w:tc>
        <w:tc>
          <w:tcPr>
            <w:tcW w:w="1276" w:type="dxa"/>
            <w:shd w:val="clear" w:color="auto" w:fill="auto"/>
            <w:noWrap/>
            <w:vAlign w:val="bottom"/>
          </w:tcPr>
          <w:p w:rsidR="00222B47" w:rsidRPr="00AC5579" w:rsidRDefault="00222B47">
            <w:pPr>
              <w:jc w:val="right"/>
              <w:rPr>
                <w:rFonts w:cs="Calibri"/>
                <w:sz w:val="20"/>
                <w:szCs w:val="20"/>
              </w:rPr>
            </w:pPr>
            <w:r w:rsidRPr="00AC5579">
              <w:rPr>
                <w:rFonts w:cs="Calibri"/>
                <w:sz w:val="20"/>
                <w:szCs w:val="20"/>
              </w:rPr>
              <w:t>850.000</w:t>
            </w:r>
          </w:p>
        </w:tc>
        <w:tc>
          <w:tcPr>
            <w:tcW w:w="1134" w:type="dxa"/>
            <w:shd w:val="clear" w:color="auto" w:fill="auto"/>
            <w:vAlign w:val="bottom"/>
          </w:tcPr>
          <w:p w:rsidR="00222B47" w:rsidRPr="00AC5579" w:rsidRDefault="00222B47">
            <w:pPr>
              <w:jc w:val="right"/>
              <w:rPr>
                <w:rFonts w:cs="Calibri"/>
                <w:sz w:val="20"/>
                <w:szCs w:val="20"/>
              </w:rPr>
            </w:pPr>
            <w:r w:rsidRPr="00AC5579">
              <w:rPr>
                <w:rFonts w:cs="Calibri"/>
                <w:sz w:val="20"/>
                <w:szCs w:val="20"/>
              </w:rPr>
              <w:t>850.000</w:t>
            </w:r>
          </w:p>
        </w:tc>
        <w:tc>
          <w:tcPr>
            <w:tcW w:w="1345" w:type="dxa"/>
            <w:shd w:val="clear" w:color="auto" w:fill="auto"/>
            <w:vAlign w:val="bottom"/>
          </w:tcPr>
          <w:p w:rsidR="00222B47" w:rsidRPr="00AC5579" w:rsidRDefault="00222B47" w:rsidP="00A17A6B">
            <w:pPr>
              <w:jc w:val="right"/>
              <w:rPr>
                <w:rFonts w:cs="Calibri"/>
                <w:sz w:val="20"/>
                <w:szCs w:val="20"/>
              </w:rPr>
            </w:pPr>
            <w:r w:rsidRPr="00AC5579">
              <w:rPr>
                <w:rFonts w:cs="Calibri"/>
                <w:sz w:val="20"/>
                <w:szCs w:val="20"/>
              </w:rPr>
              <w:t> </w:t>
            </w:r>
          </w:p>
        </w:tc>
      </w:tr>
      <w:tr w:rsidR="00222B47" w:rsidRPr="00AC5579" w:rsidTr="0013267C">
        <w:trPr>
          <w:trHeight w:val="70"/>
        </w:trPr>
        <w:tc>
          <w:tcPr>
            <w:tcW w:w="3614" w:type="dxa"/>
            <w:shd w:val="clear" w:color="auto" w:fill="auto"/>
            <w:noWrap/>
            <w:vAlign w:val="bottom"/>
          </w:tcPr>
          <w:p w:rsidR="00222B47" w:rsidRPr="00AC5579" w:rsidRDefault="00222B47" w:rsidP="000A5EFD">
            <w:pPr>
              <w:ind w:left="229"/>
              <w:jc w:val="left"/>
              <w:rPr>
                <w:rFonts w:cs="Calibri"/>
                <w:sz w:val="20"/>
                <w:szCs w:val="20"/>
              </w:rPr>
            </w:pPr>
            <w:r w:rsidRPr="00AC5579">
              <w:rPr>
                <w:rFonts w:cs="Calibri"/>
                <w:sz w:val="20"/>
                <w:szCs w:val="20"/>
              </w:rPr>
              <w:t>Ændringsimplementering</w:t>
            </w:r>
          </w:p>
        </w:tc>
        <w:tc>
          <w:tcPr>
            <w:tcW w:w="1276" w:type="dxa"/>
            <w:shd w:val="clear" w:color="auto" w:fill="auto"/>
            <w:noWrap/>
            <w:vAlign w:val="bottom"/>
          </w:tcPr>
          <w:p w:rsidR="00222B47" w:rsidRPr="00AC5579" w:rsidRDefault="00222B47">
            <w:pPr>
              <w:jc w:val="right"/>
              <w:rPr>
                <w:rFonts w:cs="Calibri"/>
                <w:sz w:val="20"/>
                <w:szCs w:val="20"/>
              </w:rPr>
            </w:pPr>
            <w:r w:rsidRPr="00AC5579">
              <w:rPr>
                <w:rFonts w:cs="Calibri"/>
                <w:sz w:val="20"/>
                <w:szCs w:val="20"/>
              </w:rPr>
              <w:t>0</w:t>
            </w:r>
          </w:p>
        </w:tc>
        <w:tc>
          <w:tcPr>
            <w:tcW w:w="1276" w:type="dxa"/>
            <w:shd w:val="clear" w:color="auto" w:fill="auto"/>
            <w:noWrap/>
            <w:vAlign w:val="bottom"/>
          </w:tcPr>
          <w:p w:rsidR="00222B47" w:rsidRPr="00AC5579" w:rsidRDefault="00222B47">
            <w:pPr>
              <w:jc w:val="right"/>
              <w:rPr>
                <w:rFonts w:cs="Calibri"/>
                <w:sz w:val="20"/>
                <w:szCs w:val="20"/>
              </w:rPr>
            </w:pPr>
            <w:r w:rsidRPr="00AC5579">
              <w:rPr>
                <w:rFonts w:cs="Calibri"/>
                <w:sz w:val="20"/>
                <w:szCs w:val="20"/>
              </w:rPr>
              <w:t>1.058.940</w:t>
            </w:r>
          </w:p>
        </w:tc>
        <w:tc>
          <w:tcPr>
            <w:tcW w:w="1134" w:type="dxa"/>
            <w:shd w:val="clear" w:color="auto" w:fill="auto"/>
            <w:vAlign w:val="bottom"/>
          </w:tcPr>
          <w:p w:rsidR="00222B47" w:rsidRPr="00AC5579" w:rsidRDefault="00222B47">
            <w:pPr>
              <w:jc w:val="right"/>
              <w:rPr>
                <w:rFonts w:cs="Calibri"/>
                <w:sz w:val="20"/>
                <w:szCs w:val="20"/>
              </w:rPr>
            </w:pPr>
            <w:r w:rsidRPr="00AC5579">
              <w:rPr>
                <w:rFonts w:cs="Calibri"/>
                <w:sz w:val="20"/>
                <w:szCs w:val="20"/>
              </w:rPr>
              <w:t>1.058.940</w:t>
            </w:r>
          </w:p>
        </w:tc>
        <w:tc>
          <w:tcPr>
            <w:tcW w:w="1345" w:type="dxa"/>
            <w:shd w:val="clear" w:color="auto" w:fill="auto"/>
            <w:vAlign w:val="bottom"/>
          </w:tcPr>
          <w:p w:rsidR="00222B47" w:rsidRPr="00AC5579" w:rsidRDefault="00222B47">
            <w:pPr>
              <w:jc w:val="right"/>
              <w:rPr>
                <w:rFonts w:cs="Calibri"/>
                <w:sz w:val="20"/>
                <w:szCs w:val="20"/>
              </w:rPr>
            </w:pPr>
            <w:r w:rsidRPr="00AC5579">
              <w:rPr>
                <w:rFonts w:cs="Calibri"/>
                <w:sz w:val="20"/>
                <w:szCs w:val="20"/>
              </w:rPr>
              <w:t>211.788</w:t>
            </w:r>
          </w:p>
        </w:tc>
      </w:tr>
      <w:tr w:rsidR="000A5EFD" w:rsidRPr="00AC5579" w:rsidTr="0013267C">
        <w:trPr>
          <w:trHeight w:val="255"/>
        </w:trPr>
        <w:tc>
          <w:tcPr>
            <w:tcW w:w="3614" w:type="dxa"/>
            <w:shd w:val="clear" w:color="auto" w:fill="auto"/>
            <w:noWrap/>
            <w:vAlign w:val="bottom"/>
          </w:tcPr>
          <w:p w:rsidR="000A5EFD" w:rsidRPr="00AC5579" w:rsidRDefault="000A5EFD" w:rsidP="000A5EFD">
            <w:pPr>
              <w:ind w:left="229"/>
              <w:jc w:val="left"/>
              <w:rPr>
                <w:rFonts w:cs="Calibri"/>
                <w:sz w:val="20"/>
                <w:szCs w:val="20"/>
              </w:rPr>
            </w:pPr>
            <w:r w:rsidRPr="00AC5579">
              <w:rPr>
                <w:rFonts w:cs="Calibri"/>
                <w:sz w:val="20"/>
                <w:szCs w:val="20"/>
              </w:rPr>
              <w:t>Kravspecifikation</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0</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400.000</w:t>
            </w:r>
          </w:p>
        </w:tc>
        <w:tc>
          <w:tcPr>
            <w:tcW w:w="1134" w:type="dxa"/>
            <w:shd w:val="clear" w:color="auto" w:fill="auto"/>
            <w:vAlign w:val="bottom"/>
          </w:tcPr>
          <w:p w:rsidR="000A5EFD" w:rsidRPr="00AC5579" w:rsidRDefault="000A5EFD">
            <w:pPr>
              <w:jc w:val="right"/>
              <w:rPr>
                <w:rFonts w:cs="Calibri"/>
                <w:sz w:val="20"/>
                <w:szCs w:val="20"/>
              </w:rPr>
            </w:pPr>
            <w:r w:rsidRPr="00AC5579">
              <w:rPr>
                <w:rFonts w:cs="Calibri"/>
                <w:sz w:val="20"/>
                <w:szCs w:val="20"/>
              </w:rPr>
              <w:t>400.000</w:t>
            </w:r>
          </w:p>
        </w:tc>
        <w:tc>
          <w:tcPr>
            <w:tcW w:w="1345" w:type="dxa"/>
            <w:shd w:val="clear" w:color="auto" w:fill="auto"/>
            <w:vAlign w:val="bottom"/>
          </w:tcPr>
          <w:p w:rsidR="000A5EFD" w:rsidRPr="00AC5579" w:rsidRDefault="000A5EFD" w:rsidP="00A17A6B">
            <w:pPr>
              <w:jc w:val="right"/>
              <w:rPr>
                <w:rFonts w:cs="Calibri"/>
                <w:sz w:val="20"/>
                <w:szCs w:val="20"/>
              </w:rPr>
            </w:pPr>
            <w:r w:rsidRPr="00AC5579">
              <w:rPr>
                <w:rFonts w:cs="Calibri"/>
                <w:sz w:val="20"/>
                <w:szCs w:val="20"/>
              </w:rPr>
              <w:t> </w:t>
            </w:r>
          </w:p>
        </w:tc>
      </w:tr>
      <w:tr w:rsidR="000A5EFD" w:rsidRPr="00AC5579" w:rsidTr="0013267C">
        <w:trPr>
          <w:trHeight w:val="255"/>
        </w:trPr>
        <w:tc>
          <w:tcPr>
            <w:tcW w:w="3614" w:type="dxa"/>
            <w:shd w:val="clear" w:color="auto" w:fill="auto"/>
            <w:noWrap/>
            <w:vAlign w:val="bottom"/>
          </w:tcPr>
          <w:p w:rsidR="000A5EFD" w:rsidRPr="00AC5579" w:rsidRDefault="000A5EFD" w:rsidP="000A5EFD">
            <w:pPr>
              <w:ind w:left="229"/>
              <w:jc w:val="left"/>
              <w:rPr>
                <w:rFonts w:cs="Calibri"/>
                <w:sz w:val="20"/>
                <w:szCs w:val="20"/>
              </w:rPr>
            </w:pPr>
            <w:r w:rsidRPr="00AC5579">
              <w:rPr>
                <w:rFonts w:cs="Calibri"/>
                <w:sz w:val="20"/>
                <w:szCs w:val="20"/>
              </w:rPr>
              <w:t>Datafordeler services</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0</w:t>
            </w:r>
          </w:p>
        </w:tc>
        <w:tc>
          <w:tcPr>
            <w:tcW w:w="1276" w:type="dxa"/>
            <w:shd w:val="clear" w:color="auto" w:fill="auto"/>
            <w:noWrap/>
            <w:vAlign w:val="bottom"/>
          </w:tcPr>
          <w:p w:rsidR="000A5EFD" w:rsidRPr="00AC5579" w:rsidRDefault="000A5EFD">
            <w:pPr>
              <w:jc w:val="right"/>
              <w:rPr>
                <w:rFonts w:cs="Calibri"/>
                <w:sz w:val="20"/>
                <w:szCs w:val="20"/>
              </w:rPr>
            </w:pPr>
            <w:r w:rsidRPr="00AC5579">
              <w:rPr>
                <w:rFonts w:cs="Calibri"/>
                <w:sz w:val="20"/>
                <w:szCs w:val="20"/>
              </w:rPr>
              <w:t>2.000.000</w:t>
            </w:r>
          </w:p>
        </w:tc>
        <w:tc>
          <w:tcPr>
            <w:tcW w:w="1134" w:type="dxa"/>
            <w:shd w:val="clear" w:color="auto" w:fill="auto"/>
            <w:vAlign w:val="bottom"/>
          </w:tcPr>
          <w:p w:rsidR="000A5EFD" w:rsidRPr="00AC5579" w:rsidRDefault="000A5EFD">
            <w:pPr>
              <w:jc w:val="right"/>
              <w:rPr>
                <w:rFonts w:cs="Calibri"/>
                <w:sz w:val="20"/>
                <w:szCs w:val="20"/>
              </w:rPr>
            </w:pPr>
            <w:r w:rsidRPr="00AC5579">
              <w:rPr>
                <w:rFonts w:cs="Calibri"/>
                <w:sz w:val="20"/>
                <w:szCs w:val="20"/>
              </w:rPr>
              <w:t>2.000.000</w:t>
            </w:r>
          </w:p>
        </w:tc>
        <w:tc>
          <w:tcPr>
            <w:tcW w:w="1345" w:type="dxa"/>
            <w:shd w:val="clear" w:color="auto" w:fill="auto"/>
            <w:vAlign w:val="bottom"/>
          </w:tcPr>
          <w:p w:rsidR="000A5EFD" w:rsidRPr="00AC5579" w:rsidRDefault="000A5EFD" w:rsidP="00A17A6B">
            <w:pPr>
              <w:jc w:val="right"/>
              <w:rPr>
                <w:rFonts w:cs="Calibri"/>
                <w:sz w:val="20"/>
                <w:szCs w:val="20"/>
              </w:rPr>
            </w:pPr>
            <w:r w:rsidRPr="00AC5579">
              <w:rPr>
                <w:rFonts w:cs="Calibri"/>
                <w:sz w:val="20"/>
                <w:szCs w:val="20"/>
              </w:rPr>
              <w:t> </w:t>
            </w:r>
          </w:p>
        </w:tc>
      </w:tr>
      <w:tr w:rsidR="00A17A6B" w:rsidRPr="00AC5579" w:rsidTr="0013267C">
        <w:trPr>
          <w:trHeight w:val="255"/>
        </w:trPr>
        <w:tc>
          <w:tcPr>
            <w:tcW w:w="3614" w:type="dxa"/>
            <w:shd w:val="clear" w:color="auto" w:fill="auto"/>
            <w:noWrap/>
            <w:vAlign w:val="bottom"/>
          </w:tcPr>
          <w:p w:rsidR="00A17A6B" w:rsidRPr="00AC5579" w:rsidRDefault="00A17A6B">
            <w:pPr>
              <w:rPr>
                <w:rFonts w:cs="Calibri"/>
                <w:b/>
                <w:sz w:val="20"/>
                <w:szCs w:val="20"/>
              </w:rPr>
            </w:pPr>
            <w:r w:rsidRPr="00AC5579">
              <w:rPr>
                <w:rFonts w:cs="Calibri"/>
                <w:b/>
                <w:bCs/>
                <w:iCs/>
                <w:sz w:val="20"/>
                <w:szCs w:val="20"/>
              </w:rPr>
              <w:lastRenderedPageBreak/>
              <w:t>Kravspecifikation og udvikling i alt:</w:t>
            </w:r>
          </w:p>
        </w:tc>
        <w:tc>
          <w:tcPr>
            <w:tcW w:w="1276" w:type="dxa"/>
            <w:shd w:val="clear" w:color="auto" w:fill="auto"/>
            <w:noWrap/>
            <w:vAlign w:val="bottom"/>
          </w:tcPr>
          <w:p w:rsidR="00A17A6B" w:rsidRPr="00AC5579" w:rsidRDefault="00A17A6B">
            <w:pPr>
              <w:jc w:val="right"/>
              <w:rPr>
                <w:rFonts w:cs="Calibri"/>
                <w:b/>
                <w:sz w:val="20"/>
                <w:szCs w:val="20"/>
              </w:rPr>
            </w:pPr>
            <w:r w:rsidRPr="00AC5579">
              <w:rPr>
                <w:rFonts w:cs="Calibri"/>
                <w:b/>
                <w:sz w:val="20"/>
                <w:szCs w:val="20"/>
              </w:rPr>
              <w:t>2.579.400</w:t>
            </w:r>
          </w:p>
        </w:tc>
        <w:tc>
          <w:tcPr>
            <w:tcW w:w="1276" w:type="dxa"/>
            <w:shd w:val="clear" w:color="auto" w:fill="auto"/>
            <w:noWrap/>
            <w:vAlign w:val="bottom"/>
          </w:tcPr>
          <w:p w:rsidR="00A17A6B" w:rsidRPr="00AC5579" w:rsidRDefault="00A17A6B">
            <w:pPr>
              <w:jc w:val="right"/>
              <w:rPr>
                <w:rFonts w:cs="Calibri"/>
                <w:b/>
                <w:sz w:val="20"/>
                <w:szCs w:val="20"/>
              </w:rPr>
            </w:pPr>
            <w:r w:rsidRPr="00AC5579">
              <w:rPr>
                <w:rFonts w:cs="Calibri"/>
                <w:b/>
                <w:sz w:val="20"/>
                <w:szCs w:val="20"/>
              </w:rPr>
              <w:t>12.318.940</w:t>
            </w:r>
          </w:p>
        </w:tc>
        <w:tc>
          <w:tcPr>
            <w:tcW w:w="1134" w:type="dxa"/>
            <w:shd w:val="clear" w:color="auto" w:fill="auto"/>
            <w:vAlign w:val="bottom"/>
          </w:tcPr>
          <w:p w:rsidR="00A17A6B" w:rsidRPr="00AC5579" w:rsidRDefault="00A17A6B">
            <w:pPr>
              <w:jc w:val="right"/>
              <w:rPr>
                <w:rFonts w:cs="Calibri"/>
                <w:b/>
                <w:sz w:val="20"/>
                <w:szCs w:val="20"/>
              </w:rPr>
            </w:pPr>
            <w:r w:rsidRPr="00AC5579">
              <w:rPr>
                <w:rFonts w:cs="Calibri"/>
                <w:b/>
                <w:sz w:val="20"/>
                <w:szCs w:val="20"/>
              </w:rPr>
              <w:t>14.898.340</w:t>
            </w:r>
          </w:p>
        </w:tc>
        <w:tc>
          <w:tcPr>
            <w:tcW w:w="1345" w:type="dxa"/>
            <w:shd w:val="clear" w:color="auto" w:fill="auto"/>
            <w:vAlign w:val="bottom"/>
          </w:tcPr>
          <w:p w:rsidR="00A17A6B" w:rsidRPr="00AC5579" w:rsidRDefault="00A17A6B">
            <w:pPr>
              <w:jc w:val="right"/>
              <w:rPr>
                <w:rFonts w:cs="Calibri"/>
                <w:b/>
                <w:sz w:val="20"/>
                <w:szCs w:val="20"/>
              </w:rPr>
            </w:pPr>
            <w:r w:rsidRPr="00AC5579">
              <w:rPr>
                <w:rFonts w:cs="Calibri"/>
                <w:b/>
                <w:sz w:val="20"/>
                <w:szCs w:val="20"/>
              </w:rPr>
              <w:t>2.329.668</w:t>
            </w:r>
          </w:p>
        </w:tc>
      </w:tr>
      <w:tr w:rsidR="000A5EFD" w:rsidRPr="00AC5579" w:rsidTr="0013267C">
        <w:trPr>
          <w:trHeight w:val="255"/>
        </w:trPr>
        <w:tc>
          <w:tcPr>
            <w:tcW w:w="3614" w:type="dxa"/>
            <w:shd w:val="clear" w:color="auto" w:fill="auto"/>
            <w:noWrap/>
            <w:vAlign w:val="bottom"/>
          </w:tcPr>
          <w:p w:rsidR="000A5EFD" w:rsidRPr="00AC5579" w:rsidRDefault="000A5EFD">
            <w:pPr>
              <w:rPr>
                <w:rFonts w:cs="Calibri"/>
                <w:b/>
                <w:sz w:val="20"/>
                <w:szCs w:val="20"/>
              </w:rPr>
            </w:pPr>
            <w:r w:rsidRPr="00AC5579">
              <w:rPr>
                <w:rFonts w:cs="Calibri"/>
                <w:b/>
                <w:sz w:val="20"/>
                <w:szCs w:val="20"/>
              </w:rPr>
              <w:t>Datavask Matrikel</w:t>
            </w:r>
          </w:p>
        </w:tc>
        <w:tc>
          <w:tcPr>
            <w:tcW w:w="1276" w:type="dxa"/>
            <w:shd w:val="clear" w:color="auto" w:fill="auto"/>
            <w:noWrap/>
            <w:vAlign w:val="bottom"/>
          </w:tcPr>
          <w:p w:rsidR="000A5EFD" w:rsidRPr="00AC5579" w:rsidRDefault="000A5EFD">
            <w:pPr>
              <w:jc w:val="right"/>
              <w:rPr>
                <w:rFonts w:cs="Calibri"/>
                <w:b/>
                <w:sz w:val="20"/>
                <w:szCs w:val="20"/>
              </w:rPr>
            </w:pPr>
            <w:r w:rsidRPr="00AC5579">
              <w:rPr>
                <w:rFonts w:cs="Calibri"/>
                <w:b/>
                <w:sz w:val="20"/>
                <w:szCs w:val="20"/>
              </w:rPr>
              <w:t>3.000.000</w:t>
            </w:r>
          </w:p>
        </w:tc>
        <w:tc>
          <w:tcPr>
            <w:tcW w:w="1276" w:type="dxa"/>
            <w:shd w:val="clear" w:color="auto" w:fill="auto"/>
            <w:noWrap/>
            <w:vAlign w:val="bottom"/>
          </w:tcPr>
          <w:p w:rsidR="000A5EFD" w:rsidRPr="00AC5579" w:rsidRDefault="000A5EFD">
            <w:pPr>
              <w:jc w:val="right"/>
              <w:rPr>
                <w:rFonts w:cs="Calibri"/>
                <w:b/>
                <w:sz w:val="20"/>
                <w:szCs w:val="20"/>
              </w:rPr>
            </w:pPr>
            <w:r w:rsidRPr="00AC5579">
              <w:rPr>
                <w:rFonts w:cs="Calibri"/>
                <w:b/>
                <w:sz w:val="20"/>
                <w:szCs w:val="20"/>
              </w:rPr>
              <w:t>7.000.000</w:t>
            </w:r>
          </w:p>
        </w:tc>
        <w:tc>
          <w:tcPr>
            <w:tcW w:w="1134" w:type="dxa"/>
            <w:shd w:val="clear" w:color="auto" w:fill="auto"/>
            <w:vAlign w:val="bottom"/>
          </w:tcPr>
          <w:p w:rsidR="000A5EFD" w:rsidRPr="00AC5579" w:rsidRDefault="000A5EFD">
            <w:pPr>
              <w:jc w:val="right"/>
              <w:rPr>
                <w:rFonts w:cs="Calibri"/>
                <w:b/>
                <w:sz w:val="20"/>
                <w:szCs w:val="20"/>
              </w:rPr>
            </w:pPr>
            <w:r w:rsidRPr="00AC5579">
              <w:rPr>
                <w:rFonts w:cs="Calibri"/>
                <w:b/>
                <w:sz w:val="20"/>
                <w:szCs w:val="20"/>
              </w:rPr>
              <w:t>10.000.000</w:t>
            </w:r>
          </w:p>
        </w:tc>
        <w:tc>
          <w:tcPr>
            <w:tcW w:w="1345" w:type="dxa"/>
            <w:shd w:val="clear" w:color="auto" w:fill="auto"/>
            <w:vAlign w:val="bottom"/>
          </w:tcPr>
          <w:p w:rsidR="000A5EFD" w:rsidRPr="00AC5579" w:rsidRDefault="000A5EFD" w:rsidP="00A17A6B">
            <w:pPr>
              <w:jc w:val="right"/>
              <w:rPr>
                <w:rFonts w:cs="Calibri"/>
                <w:sz w:val="20"/>
                <w:szCs w:val="20"/>
              </w:rPr>
            </w:pPr>
            <w:r w:rsidRPr="00AC5579">
              <w:rPr>
                <w:rFonts w:cs="Calibri"/>
                <w:sz w:val="20"/>
                <w:szCs w:val="20"/>
              </w:rPr>
              <w:t> </w:t>
            </w:r>
          </w:p>
        </w:tc>
      </w:tr>
      <w:tr w:rsidR="00A17A6B" w:rsidRPr="00AC5579" w:rsidTr="0013267C">
        <w:trPr>
          <w:trHeight w:val="255"/>
        </w:trPr>
        <w:tc>
          <w:tcPr>
            <w:tcW w:w="3614" w:type="dxa"/>
            <w:shd w:val="clear" w:color="auto" w:fill="auto"/>
            <w:noWrap/>
            <w:vAlign w:val="bottom"/>
          </w:tcPr>
          <w:p w:rsidR="00A17A6B" w:rsidRPr="00AC5579" w:rsidRDefault="00A17A6B" w:rsidP="000A5EFD">
            <w:pPr>
              <w:ind w:left="229"/>
              <w:jc w:val="left"/>
              <w:rPr>
                <w:rFonts w:cs="Calibri"/>
                <w:sz w:val="20"/>
                <w:szCs w:val="20"/>
              </w:rPr>
            </w:pPr>
            <w:r w:rsidRPr="00AC5579">
              <w:rPr>
                <w:rFonts w:cs="Calibri"/>
                <w:sz w:val="20"/>
                <w:szCs w:val="20"/>
              </w:rPr>
              <w:t>Projektledelse</w:t>
            </w:r>
          </w:p>
        </w:tc>
        <w:tc>
          <w:tcPr>
            <w:tcW w:w="1276" w:type="dxa"/>
            <w:shd w:val="clear" w:color="auto" w:fill="auto"/>
            <w:noWrap/>
            <w:vAlign w:val="bottom"/>
          </w:tcPr>
          <w:p w:rsidR="00A17A6B" w:rsidRPr="00AC5579" w:rsidRDefault="00A17A6B">
            <w:pPr>
              <w:rPr>
                <w:rFonts w:cs="Calibri"/>
                <w:sz w:val="20"/>
                <w:szCs w:val="20"/>
              </w:rPr>
            </w:pPr>
            <w:r w:rsidRPr="00AC5579">
              <w:rPr>
                <w:rFonts w:cs="Calibri"/>
                <w:sz w:val="20"/>
                <w:szCs w:val="20"/>
              </w:rPr>
              <w:t> </w:t>
            </w:r>
          </w:p>
        </w:tc>
        <w:tc>
          <w:tcPr>
            <w:tcW w:w="1276" w:type="dxa"/>
            <w:shd w:val="clear" w:color="auto" w:fill="auto"/>
            <w:noWrap/>
            <w:vAlign w:val="bottom"/>
          </w:tcPr>
          <w:p w:rsidR="00A17A6B" w:rsidRPr="00AC5579" w:rsidRDefault="00A17A6B">
            <w:pPr>
              <w:jc w:val="right"/>
              <w:rPr>
                <w:rFonts w:cs="Calibri"/>
                <w:sz w:val="20"/>
                <w:szCs w:val="20"/>
              </w:rPr>
            </w:pPr>
            <w:r w:rsidRPr="00AC5579">
              <w:rPr>
                <w:rFonts w:cs="Calibri"/>
                <w:sz w:val="20"/>
                <w:szCs w:val="20"/>
              </w:rPr>
              <w:t>1.547.801</w:t>
            </w:r>
          </w:p>
        </w:tc>
        <w:tc>
          <w:tcPr>
            <w:tcW w:w="1134" w:type="dxa"/>
            <w:shd w:val="clear" w:color="auto" w:fill="auto"/>
            <w:vAlign w:val="bottom"/>
          </w:tcPr>
          <w:p w:rsidR="00A17A6B" w:rsidRPr="00AC5579" w:rsidRDefault="00A17A6B">
            <w:pPr>
              <w:jc w:val="right"/>
              <w:rPr>
                <w:rFonts w:cs="Calibri"/>
                <w:sz w:val="20"/>
                <w:szCs w:val="20"/>
              </w:rPr>
            </w:pPr>
            <w:r w:rsidRPr="00AC5579">
              <w:rPr>
                <w:rFonts w:cs="Calibri"/>
                <w:sz w:val="20"/>
                <w:szCs w:val="20"/>
              </w:rPr>
              <w:t>2.063.734</w:t>
            </w:r>
          </w:p>
        </w:tc>
        <w:tc>
          <w:tcPr>
            <w:tcW w:w="1345" w:type="dxa"/>
            <w:shd w:val="clear" w:color="auto" w:fill="auto"/>
            <w:vAlign w:val="bottom"/>
          </w:tcPr>
          <w:p w:rsidR="00A17A6B" w:rsidRPr="00AC5579" w:rsidRDefault="00A17A6B" w:rsidP="00A17A6B">
            <w:pPr>
              <w:jc w:val="right"/>
              <w:rPr>
                <w:rFonts w:cs="Calibri"/>
                <w:sz w:val="20"/>
                <w:szCs w:val="20"/>
              </w:rPr>
            </w:pPr>
            <w:r w:rsidRPr="00AC5579">
              <w:rPr>
                <w:rFonts w:cs="Calibri"/>
                <w:sz w:val="20"/>
                <w:szCs w:val="20"/>
              </w:rPr>
              <w:t> </w:t>
            </w:r>
          </w:p>
        </w:tc>
      </w:tr>
      <w:tr w:rsidR="00A17A6B" w:rsidRPr="00AC5579" w:rsidTr="0013267C">
        <w:trPr>
          <w:trHeight w:val="255"/>
        </w:trPr>
        <w:tc>
          <w:tcPr>
            <w:tcW w:w="3614" w:type="dxa"/>
            <w:shd w:val="clear" w:color="auto" w:fill="auto"/>
            <w:noWrap/>
            <w:vAlign w:val="bottom"/>
          </w:tcPr>
          <w:p w:rsidR="00A17A6B" w:rsidRPr="00AC5579" w:rsidRDefault="00A17A6B" w:rsidP="000A5EFD">
            <w:pPr>
              <w:ind w:left="229"/>
              <w:jc w:val="left"/>
              <w:rPr>
                <w:rFonts w:cs="Calibri"/>
                <w:sz w:val="20"/>
                <w:szCs w:val="20"/>
              </w:rPr>
            </w:pPr>
            <w:r w:rsidRPr="00AC5579">
              <w:rPr>
                <w:rFonts w:cs="Calibri"/>
                <w:sz w:val="20"/>
                <w:szCs w:val="20"/>
              </w:rPr>
              <w:t>Udbud</w:t>
            </w:r>
          </w:p>
        </w:tc>
        <w:tc>
          <w:tcPr>
            <w:tcW w:w="1276" w:type="dxa"/>
            <w:shd w:val="clear" w:color="auto" w:fill="auto"/>
            <w:noWrap/>
            <w:vAlign w:val="bottom"/>
          </w:tcPr>
          <w:p w:rsidR="00A17A6B" w:rsidRPr="00AC5579" w:rsidRDefault="00A17A6B">
            <w:pPr>
              <w:rPr>
                <w:rFonts w:cs="Calibri"/>
                <w:sz w:val="20"/>
                <w:szCs w:val="20"/>
              </w:rPr>
            </w:pPr>
            <w:r w:rsidRPr="00AC5579">
              <w:rPr>
                <w:rFonts w:cs="Calibri"/>
                <w:sz w:val="20"/>
                <w:szCs w:val="20"/>
              </w:rPr>
              <w:t> </w:t>
            </w:r>
          </w:p>
        </w:tc>
        <w:tc>
          <w:tcPr>
            <w:tcW w:w="1276" w:type="dxa"/>
            <w:shd w:val="clear" w:color="auto" w:fill="auto"/>
            <w:noWrap/>
            <w:vAlign w:val="bottom"/>
          </w:tcPr>
          <w:p w:rsidR="00A17A6B" w:rsidRPr="00AC5579" w:rsidRDefault="00A17A6B">
            <w:pPr>
              <w:jc w:val="right"/>
              <w:rPr>
                <w:rFonts w:cs="Calibri"/>
                <w:sz w:val="20"/>
                <w:szCs w:val="20"/>
              </w:rPr>
            </w:pPr>
            <w:r w:rsidRPr="00AC5579">
              <w:rPr>
                <w:rFonts w:cs="Calibri"/>
                <w:sz w:val="20"/>
                <w:szCs w:val="20"/>
              </w:rPr>
              <w:t>600.000</w:t>
            </w:r>
          </w:p>
        </w:tc>
        <w:tc>
          <w:tcPr>
            <w:tcW w:w="1134" w:type="dxa"/>
            <w:shd w:val="clear" w:color="auto" w:fill="auto"/>
            <w:vAlign w:val="bottom"/>
          </w:tcPr>
          <w:p w:rsidR="00A17A6B" w:rsidRPr="00AC5579" w:rsidRDefault="00A17A6B">
            <w:pPr>
              <w:jc w:val="right"/>
              <w:rPr>
                <w:rFonts w:cs="Calibri"/>
                <w:sz w:val="20"/>
                <w:szCs w:val="20"/>
              </w:rPr>
            </w:pPr>
            <w:r w:rsidRPr="00AC5579">
              <w:rPr>
                <w:rFonts w:cs="Calibri"/>
                <w:sz w:val="20"/>
                <w:szCs w:val="20"/>
              </w:rPr>
              <w:t>800.000</w:t>
            </w:r>
          </w:p>
        </w:tc>
        <w:tc>
          <w:tcPr>
            <w:tcW w:w="1345" w:type="dxa"/>
            <w:shd w:val="clear" w:color="auto" w:fill="auto"/>
            <w:vAlign w:val="bottom"/>
          </w:tcPr>
          <w:p w:rsidR="00A17A6B" w:rsidRPr="00AC5579" w:rsidRDefault="00A17A6B" w:rsidP="00A17A6B">
            <w:pPr>
              <w:jc w:val="right"/>
              <w:rPr>
                <w:rFonts w:cs="Calibri"/>
                <w:sz w:val="20"/>
                <w:szCs w:val="20"/>
              </w:rPr>
            </w:pPr>
            <w:r w:rsidRPr="00AC5579">
              <w:rPr>
                <w:rFonts w:cs="Calibri"/>
                <w:sz w:val="20"/>
                <w:szCs w:val="20"/>
              </w:rPr>
              <w:t> </w:t>
            </w:r>
          </w:p>
        </w:tc>
      </w:tr>
      <w:tr w:rsidR="00A17A6B" w:rsidRPr="00AC5579" w:rsidTr="0013267C">
        <w:trPr>
          <w:trHeight w:val="255"/>
        </w:trPr>
        <w:tc>
          <w:tcPr>
            <w:tcW w:w="3614" w:type="dxa"/>
            <w:shd w:val="clear" w:color="auto" w:fill="auto"/>
            <w:noWrap/>
            <w:vAlign w:val="bottom"/>
          </w:tcPr>
          <w:p w:rsidR="00A17A6B" w:rsidRPr="00AC5579" w:rsidRDefault="00A17A6B" w:rsidP="000A5EFD">
            <w:pPr>
              <w:ind w:left="229"/>
              <w:jc w:val="left"/>
              <w:rPr>
                <w:rFonts w:cs="Calibri"/>
                <w:sz w:val="20"/>
                <w:szCs w:val="20"/>
              </w:rPr>
            </w:pPr>
            <w:r w:rsidRPr="00AC5579">
              <w:rPr>
                <w:rFonts w:cs="Calibri"/>
                <w:sz w:val="20"/>
                <w:szCs w:val="20"/>
              </w:rPr>
              <w:t>Interessenthåndtering</w:t>
            </w:r>
          </w:p>
        </w:tc>
        <w:tc>
          <w:tcPr>
            <w:tcW w:w="1276" w:type="dxa"/>
            <w:shd w:val="clear" w:color="auto" w:fill="auto"/>
            <w:noWrap/>
            <w:vAlign w:val="bottom"/>
          </w:tcPr>
          <w:p w:rsidR="00A17A6B" w:rsidRPr="00AC5579" w:rsidRDefault="00A17A6B">
            <w:pPr>
              <w:rPr>
                <w:rFonts w:cs="Calibri"/>
                <w:sz w:val="20"/>
                <w:szCs w:val="20"/>
              </w:rPr>
            </w:pPr>
            <w:r w:rsidRPr="00AC5579">
              <w:rPr>
                <w:rFonts w:cs="Calibri"/>
                <w:sz w:val="20"/>
                <w:szCs w:val="20"/>
              </w:rPr>
              <w:t> </w:t>
            </w:r>
          </w:p>
        </w:tc>
        <w:tc>
          <w:tcPr>
            <w:tcW w:w="1276" w:type="dxa"/>
            <w:shd w:val="clear" w:color="auto" w:fill="auto"/>
            <w:noWrap/>
            <w:vAlign w:val="bottom"/>
          </w:tcPr>
          <w:p w:rsidR="00A17A6B" w:rsidRPr="00AC5579" w:rsidRDefault="00A17A6B">
            <w:pPr>
              <w:jc w:val="right"/>
              <w:rPr>
                <w:rFonts w:cs="Calibri"/>
                <w:sz w:val="20"/>
                <w:szCs w:val="20"/>
              </w:rPr>
            </w:pPr>
            <w:r w:rsidRPr="00AC5579">
              <w:rPr>
                <w:rFonts w:cs="Calibri"/>
                <w:sz w:val="20"/>
                <w:szCs w:val="20"/>
              </w:rPr>
              <w:t>375.000</w:t>
            </w:r>
          </w:p>
        </w:tc>
        <w:tc>
          <w:tcPr>
            <w:tcW w:w="1134" w:type="dxa"/>
            <w:shd w:val="clear" w:color="auto" w:fill="auto"/>
            <w:vAlign w:val="bottom"/>
          </w:tcPr>
          <w:p w:rsidR="00A17A6B" w:rsidRPr="00AC5579" w:rsidRDefault="00A17A6B">
            <w:pPr>
              <w:jc w:val="right"/>
              <w:rPr>
                <w:rFonts w:cs="Calibri"/>
                <w:sz w:val="20"/>
                <w:szCs w:val="20"/>
              </w:rPr>
            </w:pPr>
            <w:r w:rsidRPr="00AC5579">
              <w:rPr>
                <w:rFonts w:cs="Calibri"/>
                <w:sz w:val="20"/>
                <w:szCs w:val="20"/>
              </w:rPr>
              <w:t>500.000</w:t>
            </w:r>
          </w:p>
        </w:tc>
        <w:tc>
          <w:tcPr>
            <w:tcW w:w="1345" w:type="dxa"/>
            <w:shd w:val="clear" w:color="auto" w:fill="auto"/>
            <w:vAlign w:val="bottom"/>
          </w:tcPr>
          <w:p w:rsidR="00A17A6B" w:rsidRPr="00AC5579" w:rsidRDefault="00A17A6B">
            <w:pPr>
              <w:jc w:val="right"/>
              <w:rPr>
                <w:rFonts w:cs="Calibri"/>
                <w:sz w:val="20"/>
                <w:szCs w:val="20"/>
              </w:rPr>
            </w:pPr>
            <w:r w:rsidRPr="00AC5579">
              <w:rPr>
                <w:rFonts w:cs="Calibri"/>
                <w:sz w:val="20"/>
                <w:szCs w:val="20"/>
              </w:rPr>
              <w:t>100.000</w:t>
            </w:r>
          </w:p>
        </w:tc>
      </w:tr>
      <w:tr w:rsidR="00A17A6B" w:rsidRPr="00AC5579" w:rsidTr="0013267C">
        <w:trPr>
          <w:trHeight w:val="255"/>
        </w:trPr>
        <w:tc>
          <w:tcPr>
            <w:tcW w:w="3614" w:type="dxa"/>
            <w:shd w:val="clear" w:color="auto" w:fill="auto"/>
            <w:noWrap/>
            <w:vAlign w:val="bottom"/>
          </w:tcPr>
          <w:p w:rsidR="00A17A6B" w:rsidRPr="00AC5579" w:rsidRDefault="00A17A6B" w:rsidP="000A5EFD">
            <w:pPr>
              <w:ind w:left="229"/>
              <w:jc w:val="left"/>
              <w:rPr>
                <w:rFonts w:cs="Calibri"/>
                <w:sz w:val="20"/>
                <w:szCs w:val="20"/>
              </w:rPr>
            </w:pPr>
            <w:r w:rsidRPr="00AC5579">
              <w:rPr>
                <w:rFonts w:cs="Calibri"/>
                <w:sz w:val="20"/>
                <w:szCs w:val="20"/>
              </w:rPr>
              <w:t>Integrationstest</w:t>
            </w:r>
          </w:p>
        </w:tc>
        <w:tc>
          <w:tcPr>
            <w:tcW w:w="1276" w:type="dxa"/>
            <w:shd w:val="clear" w:color="auto" w:fill="auto"/>
            <w:noWrap/>
            <w:vAlign w:val="bottom"/>
          </w:tcPr>
          <w:p w:rsidR="00A17A6B" w:rsidRPr="00AC5579" w:rsidRDefault="00A17A6B">
            <w:pPr>
              <w:rPr>
                <w:rFonts w:cs="Calibri"/>
                <w:sz w:val="20"/>
                <w:szCs w:val="20"/>
              </w:rPr>
            </w:pPr>
            <w:r w:rsidRPr="00AC5579">
              <w:rPr>
                <w:rFonts w:cs="Calibri"/>
                <w:sz w:val="20"/>
                <w:szCs w:val="20"/>
              </w:rPr>
              <w:t> </w:t>
            </w:r>
          </w:p>
        </w:tc>
        <w:tc>
          <w:tcPr>
            <w:tcW w:w="1276" w:type="dxa"/>
            <w:shd w:val="clear" w:color="auto" w:fill="auto"/>
            <w:noWrap/>
            <w:vAlign w:val="bottom"/>
          </w:tcPr>
          <w:p w:rsidR="00A17A6B" w:rsidRPr="00AC5579" w:rsidRDefault="00A17A6B">
            <w:pPr>
              <w:jc w:val="right"/>
              <w:rPr>
                <w:rFonts w:cs="Calibri"/>
                <w:sz w:val="20"/>
                <w:szCs w:val="20"/>
              </w:rPr>
            </w:pPr>
            <w:r w:rsidRPr="00AC5579">
              <w:rPr>
                <w:rFonts w:cs="Calibri"/>
                <w:sz w:val="20"/>
                <w:szCs w:val="20"/>
              </w:rPr>
              <w:t>794.205</w:t>
            </w:r>
          </w:p>
        </w:tc>
        <w:tc>
          <w:tcPr>
            <w:tcW w:w="1134" w:type="dxa"/>
            <w:shd w:val="clear" w:color="auto" w:fill="auto"/>
            <w:vAlign w:val="bottom"/>
          </w:tcPr>
          <w:p w:rsidR="00A17A6B" w:rsidRPr="00AC5579" w:rsidRDefault="00A17A6B">
            <w:pPr>
              <w:jc w:val="right"/>
              <w:rPr>
                <w:rFonts w:cs="Calibri"/>
                <w:sz w:val="20"/>
                <w:szCs w:val="20"/>
              </w:rPr>
            </w:pPr>
            <w:r w:rsidRPr="00AC5579">
              <w:rPr>
                <w:rFonts w:cs="Calibri"/>
                <w:sz w:val="20"/>
                <w:szCs w:val="20"/>
              </w:rPr>
              <w:t>1.058.940</w:t>
            </w:r>
          </w:p>
        </w:tc>
        <w:tc>
          <w:tcPr>
            <w:tcW w:w="1345" w:type="dxa"/>
            <w:shd w:val="clear" w:color="auto" w:fill="auto"/>
            <w:vAlign w:val="bottom"/>
          </w:tcPr>
          <w:p w:rsidR="00A17A6B" w:rsidRPr="00AC5579" w:rsidRDefault="00A17A6B" w:rsidP="00A17A6B">
            <w:pPr>
              <w:jc w:val="right"/>
              <w:rPr>
                <w:rFonts w:cs="Calibri"/>
                <w:sz w:val="20"/>
                <w:szCs w:val="20"/>
              </w:rPr>
            </w:pPr>
            <w:r w:rsidRPr="00AC5579">
              <w:rPr>
                <w:rFonts w:cs="Calibri"/>
                <w:sz w:val="20"/>
                <w:szCs w:val="20"/>
              </w:rPr>
              <w:t> </w:t>
            </w:r>
          </w:p>
        </w:tc>
      </w:tr>
      <w:tr w:rsidR="00A17A6B" w:rsidRPr="00AC5579" w:rsidTr="0013267C">
        <w:trPr>
          <w:trHeight w:val="270"/>
        </w:trPr>
        <w:tc>
          <w:tcPr>
            <w:tcW w:w="3614" w:type="dxa"/>
            <w:shd w:val="clear" w:color="auto" w:fill="auto"/>
            <w:noWrap/>
            <w:vAlign w:val="bottom"/>
          </w:tcPr>
          <w:p w:rsidR="00A17A6B" w:rsidRPr="00AC5579" w:rsidRDefault="00A17A6B" w:rsidP="00183898">
            <w:pPr>
              <w:ind w:left="229"/>
              <w:jc w:val="left"/>
              <w:rPr>
                <w:rFonts w:cs="Calibri"/>
                <w:sz w:val="20"/>
                <w:szCs w:val="20"/>
              </w:rPr>
            </w:pPr>
            <w:r w:rsidRPr="00AC5579">
              <w:rPr>
                <w:rFonts w:cs="Calibri"/>
                <w:sz w:val="20"/>
                <w:szCs w:val="20"/>
              </w:rPr>
              <w:t>Udrulning (inkl. uddannelse)</w:t>
            </w:r>
          </w:p>
        </w:tc>
        <w:tc>
          <w:tcPr>
            <w:tcW w:w="1276" w:type="dxa"/>
            <w:shd w:val="clear" w:color="auto" w:fill="auto"/>
            <w:noWrap/>
            <w:vAlign w:val="bottom"/>
          </w:tcPr>
          <w:p w:rsidR="00A17A6B" w:rsidRPr="00AC5579" w:rsidRDefault="00A17A6B">
            <w:pPr>
              <w:rPr>
                <w:rFonts w:cs="Calibri"/>
                <w:sz w:val="20"/>
                <w:szCs w:val="20"/>
              </w:rPr>
            </w:pPr>
            <w:r w:rsidRPr="00AC5579">
              <w:rPr>
                <w:rFonts w:cs="Calibri"/>
                <w:sz w:val="20"/>
                <w:szCs w:val="20"/>
              </w:rPr>
              <w:t> </w:t>
            </w:r>
          </w:p>
        </w:tc>
        <w:tc>
          <w:tcPr>
            <w:tcW w:w="1276" w:type="dxa"/>
            <w:shd w:val="clear" w:color="auto" w:fill="auto"/>
            <w:noWrap/>
            <w:vAlign w:val="bottom"/>
          </w:tcPr>
          <w:p w:rsidR="00A17A6B" w:rsidRPr="00AC5579" w:rsidRDefault="00A17A6B">
            <w:pPr>
              <w:jc w:val="right"/>
              <w:rPr>
                <w:rFonts w:cs="Calibri"/>
                <w:sz w:val="20"/>
                <w:szCs w:val="20"/>
              </w:rPr>
            </w:pPr>
            <w:r w:rsidRPr="00AC5579">
              <w:rPr>
                <w:rFonts w:cs="Calibri"/>
                <w:sz w:val="20"/>
                <w:szCs w:val="20"/>
              </w:rPr>
              <w:t>397.103</w:t>
            </w:r>
          </w:p>
        </w:tc>
        <w:tc>
          <w:tcPr>
            <w:tcW w:w="1134" w:type="dxa"/>
            <w:shd w:val="clear" w:color="auto" w:fill="auto"/>
            <w:vAlign w:val="bottom"/>
          </w:tcPr>
          <w:p w:rsidR="00A17A6B" w:rsidRPr="00AC5579" w:rsidRDefault="00A17A6B">
            <w:pPr>
              <w:jc w:val="right"/>
              <w:rPr>
                <w:rFonts w:cs="Calibri"/>
                <w:sz w:val="20"/>
                <w:szCs w:val="20"/>
              </w:rPr>
            </w:pPr>
            <w:r w:rsidRPr="00AC5579">
              <w:rPr>
                <w:rFonts w:cs="Calibri"/>
                <w:sz w:val="20"/>
                <w:szCs w:val="20"/>
              </w:rPr>
              <w:t>529.470</w:t>
            </w:r>
          </w:p>
        </w:tc>
        <w:tc>
          <w:tcPr>
            <w:tcW w:w="1345" w:type="dxa"/>
            <w:shd w:val="clear" w:color="auto" w:fill="auto"/>
            <w:vAlign w:val="bottom"/>
          </w:tcPr>
          <w:p w:rsidR="00A17A6B" w:rsidRPr="00AC5579" w:rsidRDefault="00A17A6B" w:rsidP="00A17A6B">
            <w:pPr>
              <w:jc w:val="right"/>
              <w:rPr>
                <w:rFonts w:cs="Calibri"/>
                <w:sz w:val="20"/>
                <w:szCs w:val="20"/>
              </w:rPr>
            </w:pPr>
            <w:r w:rsidRPr="00AC5579">
              <w:rPr>
                <w:rFonts w:cs="Calibri"/>
                <w:sz w:val="20"/>
                <w:szCs w:val="20"/>
              </w:rPr>
              <w:t> </w:t>
            </w:r>
          </w:p>
        </w:tc>
      </w:tr>
      <w:tr w:rsidR="00A17A6B" w:rsidRPr="00AC5579" w:rsidTr="0013267C">
        <w:trPr>
          <w:trHeight w:val="270"/>
        </w:trPr>
        <w:tc>
          <w:tcPr>
            <w:tcW w:w="3614" w:type="dxa"/>
            <w:shd w:val="clear" w:color="auto" w:fill="auto"/>
            <w:noWrap/>
            <w:vAlign w:val="bottom"/>
          </w:tcPr>
          <w:p w:rsidR="00A17A6B" w:rsidRPr="00AC5579" w:rsidRDefault="00A17A6B" w:rsidP="00183898">
            <w:pPr>
              <w:ind w:left="229"/>
              <w:jc w:val="left"/>
              <w:rPr>
                <w:rFonts w:cs="Calibri"/>
                <w:sz w:val="20"/>
                <w:szCs w:val="20"/>
              </w:rPr>
            </w:pPr>
            <w:r w:rsidRPr="00AC5579">
              <w:rPr>
                <w:rFonts w:cs="Calibri"/>
                <w:sz w:val="20"/>
                <w:szCs w:val="20"/>
              </w:rPr>
              <w:t>Udfasning af bestående systemer</w:t>
            </w:r>
          </w:p>
        </w:tc>
        <w:tc>
          <w:tcPr>
            <w:tcW w:w="1276" w:type="dxa"/>
            <w:shd w:val="clear" w:color="auto" w:fill="auto"/>
            <w:noWrap/>
            <w:vAlign w:val="bottom"/>
          </w:tcPr>
          <w:p w:rsidR="00A17A6B" w:rsidRPr="00AC5579" w:rsidRDefault="00A17A6B">
            <w:pPr>
              <w:rPr>
                <w:rFonts w:cs="Calibri"/>
                <w:sz w:val="20"/>
                <w:szCs w:val="20"/>
              </w:rPr>
            </w:pPr>
            <w:r w:rsidRPr="00AC5579">
              <w:rPr>
                <w:rFonts w:cs="Calibri"/>
                <w:sz w:val="20"/>
                <w:szCs w:val="20"/>
              </w:rPr>
              <w:t> </w:t>
            </w:r>
          </w:p>
        </w:tc>
        <w:tc>
          <w:tcPr>
            <w:tcW w:w="1276" w:type="dxa"/>
            <w:shd w:val="clear" w:color="auto" w:fill="auto"/>
            <w:noWrap/>
            <w:vAlign w:val="bottom"/>
          </w:tcPr>
          <w:p w:rsidR="00A17A6B" w:rsidRPr="00AC5579" w:rsidRDefault="00A17A6B">
            <w:pPr>
              <w:jc w:val="right"/>
              <w:rPr>
                <w:rFonts w:cs="Calibri"/>
                <w:sz w:val="20"/>
                <w:szCs w:val="20"/>
              </w:rPr>
            </w:pPr>
            <w:r w:rsidRPr="00AC5579">
              <w:rPr>
                <w:rFonts w:cs="Calibri"/>
                <w:sz w:val="20"/>
                <w:szCs w:val="20"/>
              </w:rPr>
              <w:t>0</w:t>
            </w:r>
          </w:p>
        </w:tc>
        <w:tc>
          <w:tcPr>
            <w:tcW w:w="1134" w:type="dxa"/>
            <w:shd w:val="clear" w:color="auto" w:fill="auto"/>
            <w:vAlign w:val="bottom"/>
          </w:tcPr>
          <w:p w:rsidR="00A17A6B" w:rsidRPr="00AC5579" w:rsidRDefault="00A17A6B">
            <w:pPr>
              <w:jc w:val="right"/>
              <w:rPr>
                <w:rFonts w:cs="Calibri"/>
                <w:sz w:val="20"/>
                <w:szCs w:val="20"/>
              </w:rPr>
            </w:pPr>
            <w:r w:rsidRPr="00AC5579">
              <w:rPr>
                <w:rFonts w:cs="Calibri"/>
                <w:sz w:val="20"/>
                <w:szCs w:val="20"/>
              </w:rPr>
              <w:t>0</w:t>
            </w:r>
          </w:p>
        </w:tc>
        <w:tc>
          <w:tcPr>
            <w:tcW w:w="1345" w:type="dxa"/>
            <w:shd w:val="clear" w:color="auto" w:fill="auto"/>
            <w:vAlign w:val="bottom"/>
          </w:tcPr>
          <w:p w:rsidR="00A17A6B" w:rsidRPr="00AC5579" w:rsidRDefault="00A17A6B">
            <w:pPr>
              <w:rPr>
                <w:rFonts w:cs="Calibri"/>
                <w:sz w:val="20"/>
                <w:szCs w:val="20"/>
              </w:rPr>
            </w:pPr>
            <w:r w:rsidRPr="00AC5579">
              <w:rPr>
                <w:rFonts w:cs="Calibri"/>
                <w:sz w:val="20"/>
                <w:szCs w:val="20"/>
              </w:rPr>
              <w:t> </w:t>
            </w:r>
          </w:p>
        </w:tc>
      </w:tr>
      <w:tr w:rsidR="00A17A6B" w:rsidRPr="00AC5579" w:rsidTr="0013267C">
        <w:trPr>
          <w:trHeight w:val="270"/>
        </w:trPr>
        <w:tc>
          <w:tcPr>
            <w:tcW w:w="3614" w:type="dxa"/>
            <w:shd w:val="clear" w:color="auto" w:fill="auto"/>
            <w:noWrap/>
            <w:vAlign w:val="bottom"/>
          </w:tcPr>
          <w:p w:rsidR="00A17A6B" w:rsidRPr="00AC5579" w:rsidRDefault="00892CC5">
            <w:pPr>
              <w:rPr>
                <w:rFonts w:cs="Calibri"/>
                <w:b/>
                <w:bCs/>
                <w:iCs/>
                <w:sz w:val="20"/>
                <w:szCs w:val="20"/>
              </w:rPr>
            </w:pPr>
            <w:r w:rsidRPr="00AC5579">
              <w:rPr>
                <w:rFonts w:cs="Calibri"/>
                <w:b/>
                <w:bCs/>
                <w:iCs/>
                <w:sz w:val="20"/>
                <w:szCs w:val="20"/>
              </w:rPr>
              <w:t>Projektomkostninger</w:t>
            </w:r>
            <w:r w:rsidR="00A17A6B" w:rsidRPr="00AC5579">
              <w:rPr>
                <w:rFonts w:cs="Calibri"/>
                <w:b/>
                <w:bCs/>
                <w:iCs/>
                <w:sz w:val="20"/>
                <w:szCs w:val="20"/>
              </w:rPr>
              <w:t xml:space="preserve"> i alt</w:t>
            </w:r>
          </w:p>
        </w:tc>
        <w:tc>
          <w:tcPr>
            <w:tcW w:w="1276" w:type="dxa"/>
            <w:shd w:val="clear" w:color="auto" w:fill="auto"/>
            <w:noWrap/>
            <w:vAlign w:val="bottom"/>
          </w:tcPr>
          <w:p w:rsidR="00A17A6B" w:rsidRPr="00AC5579" w:rsidRDefault="00A17A6B">
            <w:pPr>
              <w:rPr>
                <w:rFonts w:cs="Calibri"/>
                <w:b/>
                <w:sz w:val="20"/>
                <w:szCs w:val="20"/>
              </w:rPr>
            </w:pPr>
            <w:r w:rsidRPr="00AC5579">
              <w:rPr>
                <w:rFonts w:cs="Calibri"/>
                <w:b/>
                <w:sz w:val="20"/>
                <w:szCs w:val="20"/>
              </w:rPr>
              <w:t> </w:t>
            </w:r>
          </w:p>
        </w:tc>
        <w:tc>
          <w:tcPr>
            <w:tcW w:w="1276" w:type="dxa"/>
            <w:shd w:val="clear" w:color="auto" w:fill="auto"/>
            <w:noWrap/>
            <w:vAlign w:val="bottom"/>
          </w:tcPr>
          <w:p w:rsidR="00A17A6B" w:rsidRPr="00AC5579" w:rsidRDefault="00A17A6B">
            <w:pPr>
              <w:jc w:val="right"/>
              <w:rPr>
                <w:rFonts w:cs="Calibri"/>
                <w:b/>
                <w:sz w:val="20"/>
                <w:szCs w:val="20"/>
              </w:rPr>
            </w:pPr>
            <w:r w:rsidRPr="00AC5579">
              <w:rPr>
                <w:rFonts w:cs="Calibri"/>
                <w:b/>
                <w:sz w:val="20"/>
                <w:szCs w:val="20"/>
              </w:rPr>
              <w:t>3.714.108</w:t>
            </w:r>
          </w:p>
        </w:tc>
        <w:tc>
          <w:tcPr>
            <w:tcW w:w="1134" w:type="dxa"/>
            <w:shd w:val="clear" w:color="auto" w:fill="auto"/>
            <w:vAlign w:val="bottom"/>
          </w:tcPr>
          <w:p w:rsidR="00A17A6B" w:rsidRPr="00AC5579" w:rsidRDefault="00A17A6B">
            <w:pPr>
              <w:jc w:val="right"/>
              <w:rPr>
                <w:rFonts w:cs="Calibri"/>
                <w:b/>
                <w:sz w:val="20"/>
                <w:szCs w:val="20"/>
              </w:rPr>
            </w:pPr>
            <w:r w:rsidRPr="00AC5579">
              <w:rPr>
                <w:rFonts w:cs="Calibri"/>
                <w:b/>
                <w:sz w:val="20"/>
                <w:szCs w:val="20"/>
              </w:rPr>
              <w:t>4.952.144</w:t>
            </w:r>
          </w:p>
        </w:tc>
        <w:tc>
          <w:tcPr>
            <w:tcW w:w="1345" w:type="dxa"/>
            <w:shd w:val="clear" w:color="auto" w:fill="auto"/>
            <w:vAlign w:val="bottom"/>
          </w:tcPr>
          <w:p w:rsidR="00A17A6B" w:rsidRPr="00AC5579" w:rsidRDefault="00A17A6B">
            <w:pPr>
              <w:jc w:val="right"/>
              <w:rPr>
                <w:rFonts w:cs="Calibri"/>
                <w:b/>
                <w:sz w:val="20"/>
                <w:szCs w:val="20"/>
              </w:rPr>
            </w:pPr>
            <w:r w:rsidRPr="00AC5579">
              <w:rPr>
                <w:rFonts w:cs="Calibri"/>
                <w:b/>
                <w:sz w:val="20"/>
                <w:szCs w:val="20"/>
              </w:rPr>
              <w:t>100.000</w:t>
            </w:r>
          </w:p>
        </w:tc>
      </w:tr>
      <w:tr w:rsidR="00A17A6B" w:rsidRPr="00AC5579" w:rsidTr="000A5EFD">
        <w:trPr>
          <w:trHeight w:val="270"/>
        </w:trPr>
        <w:tc>
          <w:tcPr>
            <w:tcW w:w="3614" w:type="dxa"/>
            <w:shd w:val="clear" w:color="auto" w:fill="C6D9F1"/>
            <w:noWrap/>
            <w:vAlign w:val="bottom"/>
          </w:tcPr>
          <w:p w:rsidR="00A17A6B" w:rsidRPr="00AC5579" w:rsidRDefault="00DE2785" w:rsidP="00A17A6B">
            <w:pPr>
              <w:jc w:val="left"/>
              <w:rPr>
                <w:rFonts w:cs="Calibri"/>
                <w:b/>
                <w:sz w:val="20"/>
                <w:szCs w:val="20"/>
              </w:rPr>
            </w:pPr>
            <w:r>
              <w:rPr>
                <w:rFonts w:cs="Calibri"/>
                <w:b/>
                <w:sz w:val="20"/>
                <w:szCs w:val="20"/>
              </w:rPr>
              <w:t>GST</w:t>
            </w:r>
            <w:r w:rsidR="00A17A6B" w:rsidRPr="00AC5579">
              <w:rPr>
                <w:rFonts w:cs="Calibri"/>
                <w:b/>
                <w:sz w:val="20"/>
                <w:szCs w:val="20"/>
              </w:rPr>
              <w:t xml:space="preserve"> i alt</w:t>
            </w:r>
          </w:p>
        </w:tc>
        <w:tc>
          <w:tcPr>
            <w:tcW w:w="1276" w:type="dxa"/>
            <w:shd w:val="clear" w:color="auto" w:fill="C6D9F1"/>
            <w:noWrap/>
            <w:vAlign w:val="bottom"/>
          </w:tcPr>
          <w:p w:rsidR="00A17A6B" w:rsidRPr="00AC5579" w:rsidRDefault="00A17A6B" w:rsidP="00A17A6B">
            <w:pPr>
              <w:jc w:val="right"/>
              <w:rPr>
                <w:rFonts w:cs="Calibri"/>
                <w:b/>
                <w:sz w:val="20"/>
                <w:szCs w:val="20"/>
              </w:rPr>
            </w:pPr>
            <w:r w:rsidRPr="00AC5579">
              <w:rPr>
                <w:rFonts w:cs="Calibri"/>
                <w:b/>
                <w:sz w:val="20"/>
                <w:szCs w:val="20"/>
              </w:rPr>
              <w:t> </w:t>
            </w:r>
          </w:p>
        </w:tc>
        <w:tc>
          <w:tcPr>
            <w:tcW w:w="1276" w:type="dxa"/>
            <w:shd w:val="clear" w:color="auto" w:fill="C6D9F1"/>
            <w:noWrap/>
            <w:vAlign w:val="bottom"/>
          </w:tcPr>
          <w:p w:rsidR="00A17A6B" w:rsidRPr="00AC5579" w:rsidRDefault="00A17A6B">
            <w:pPr>
              <w:jc w:val="right"/>
              <w:rPr>
                <w:rFonts w:cs="Calibri"/>
                <w:b/>
                <w:sz w:val="20"/>
                <w:szCs w:val="20"/>
              </w:rPr>
            </w:pPr>
          </w:p>
        </w:tc>
        <w:tc>
          <w:tcPr>
            <w:tcW w:w="1134" w:type="dxa"/>
            <w:shd w:val="clear" w:color="auto" w:fill="C6D9F1"/>
            <w:vAlign w:val="bottom"/>
          </w:tcPr>
          <w:p w:rsidR="00A17A6B" w:rsidRPr="00AC5579" w:rsidRDefault="00A17A6B">
            <w:pPr>
              <w:jc w:val="right"/>
              <w:rPr>
                <w:rFonts w:cs="Calibri"/>
                <w:b/>
                <w:sz w:val="20"/>
                <w:szCs w:val="20"/>
              </w:rPr>
            </w:pPr>
            <w:r w:rsidRPr="00AC5579">
              <w:rPr>
                <w:rFonts w:cs="Calibri"/>
                <w:b/>
                <w:sz w:val="20"/>
                <w:szCs w:val="20"/>
              </w:rPr>
              <w:t>29.850.484</w:t>
            </w:r>
          </w:p>
        </w:tc>
        <w:tc>
          <w:tcPr>
            <w:tcW w:w="1345" w:type="dxa"/>
            <w:shd w:val="clear" w:color="auto" w:fill="C6D9F1"/>
            <w:vAlign w:val="bottom"/>
          </w:tcPr>
          <w:p w:rsidR="00A17A6B" w:rsidRPr="00AC5579" w:rsidRDefault="00A17A6B" w:rsidP="002D2A99">
            <w:pPr>
              <w:keepNext/>
              <w:jc w:val="right"/>
              <w:rPr>
                <w:rFonts w:cs="Calibri"/>
                <w:b/>
                <w:sz w:val="20"/>
                <w:szCs w:val="20"/>
              </w:rPr>
            </w:pPr>
            <w:r w:rsidRPr="00AC5579">
              <w:rPr>
                <w:rFonts w:cs="Calibri"/>
                <w:b/>
                <w:sz w:val="20"/>
                <w:szCs w:val="20"/>
              </w:rPr>
              <w:t>2.429.668</w:t>
            </w:r>
          </w:p>
        </w:tc>
      </w:tr>
    </w:tbl>
    <w:p w:rsidR="00FF7411" w:rsidRPr="00AC5579" w:rsidRDefault="002D2A99" w:rsidP="002D2A99">
      <w:pPr>
        <w:pStyle w:val="Billedtekst"/>
      </w:pPr>
      <w:r w:rsidRPr="00AC5579">
        <w:t xml:space="preserve">Tabel </w:t>
      </w:r>
      <w:r w:rsidR="004B01EA">
        <w:fldChar w:fldCharType="begin"/>
      </w:r>
      <w:r w:rsidR="004B01EA">
        <w:instrText xml:space="preserve"> SEQ Tabel \* ARABIC </w:instrText>
      </w:r>
      <w:r w:rsidR="004B01EA">
        <w:fldChar w:fldCharType="separate"/>
      </w:r>
      <w:r w:rsidR="00B53FEA">
        <w:rPr>
          <w:noProof/>
        </w:rPr>
        <w:t>7</w:t>
      </w:r>
      <w:r w:rsidR="004B01EA">
        <w:rPr>
          <w:noProof/>
        </w:rPr>
        <w:fldChar w:fldCharType="end"/>
      </w:r>
      <w:r w:rsidRPr="00AC5579">
        <w:t>: : Estimerede etablerings- og driftsomkostning for udvidelse af Matriklen i kr.</w:t>
      </w:r>
    </w:p>
    <w:p w:rsidR="00ED78E9" w:rsidRPr="00AC5579" w:rsidRDefault="00ED78E9" w:rsidP="00ED78E9">
      <w:pPr>
        <w:pStyle w:val="Overskrift2"/>
        <w:rPr>
          <w:lang w:val="da-DK"/>
        </w:rPr>
      </w:pPr>
      <w:bookmarkStart w:id="130" w:name="_Toc341024675"/>
      <w:r w:rsidRPr="00AC5579">
        <w:rPr>
          <w:lang w:val="da-DK"/>
        </w:rPr>
        <w:t>SKAT</w:t>
      </w:r>
      <w:bookmarkEnd w:id="130"/>
    </w:p>
    <w:p w:rsidR="00892CC5" w:rsidRPr="00AC5579" w:rsidRDefault="002D2A99" w:rsidP="002D2A99">
      <w:r w:rsidRPr="00AC5579">
        <w:t xml:space="preserve">SKAT står udenfor aftalen om </w:t>
      </w:r>
      <w:r w:rsidR="007E4401">
        <w:t>Effektiv ejendomsforvaltning</w:t>
      </w:r>
      <w:r w:rsidRPr="00AC5579">
        <w:t xml:space="preserve"> og genbrug af ejendomsdata. </w:t>
      </w:r>
    </w:p>
    <w:p w:rsidR="00ED78E9" w:rsidRPr="00AC5579" w:rsidRDefault="00ED78E9" w:rsidP="00ED78E9">
      <w:pPr>
        <w:pStyle w:val="Overskrift2"/>
        <w:rPr>
          <w:lang w:val="da-DK"/>
        </w:rPr>
      </w:pPr>
      <w:bookmarkStart w:id="131" w:name="_Toc341024676"/>
      <w:r w:rsidRPr="00AC5579">
        <w:rPr>
          <w:lang w:val="da-DK"/>
        </w:rPr>
        <w:t>Domstolsstyrelsen</w:t>
      </w:r>
      <w:bookmarkEnd w:id="131"/>
    </w:p>
    <w:tbl>
      <w:tblPr>
        <w:tblW w:w="8540" w:type="dxa"/>
        <w:tblInd w:w="55" w:type="dxa"/>
        <w:tblCellMar>
          <w:left w:w="70" w:type="dxa"/>
          <w:right w:w="70" w:type="dxa"/>
        </w:tblCellMar>
        <w:tblLook w:val="04A0" w:firstRow="1" w:lastRow="0" w:firstColumn="1" w:lastColumn="0" w:noHBand="0" w:noVBand="1"/>
      </w:tblPr>
      <w:tblGrid>
        <w:gridCol w:w="2760"/>
        <w:gridCol w:w="480"/>
        <w:gridCol w:w="480"/>
        <w:gridCol w:w="480"/>
        <w:gridCol w:w="480"/>
        <w:gridCol w:w="480"/>
        <w:gridCol w:w="480"/>
        <w:gridCol w:w="480"/>
        <w:gridCol w:w="480"/>
        <w:gridCol w:w="480"/>
        <w:gridCol w:w="480"/>
        <w:gridCol w:w="480"/>
        <w:gridCol w:w="500"/>
      </w:tblGrid>
      <w:tr w:rsidR="00D2658F" w:rsidRPr="00D2658F" w:rsidTr="00D2658F">
        <w:trPr>
          <w:trHeight w:val="432"/>
        </w:trPr>
        <w:tc>
          <w:tcPr>
            <w:tcW w:w="2760" w:type="dxa"/>
            <w:tcBorders>
              <w:top w:val="single" w:sz="8" w:space="0" w:color="auto"/>
              <w:left w:val="single" w:sz="8" w:space="0" w:color="auto"/>
              <w:bottom w:val="single" w:sz="8" w:space="0" w:color="auto"/>
              <w:right w:val="nil"/>
            </w:tcBorders>
            <w:shd w:val="clear" w:color="000000" w:fill="A6A6A6"/>
            <w:noWrap/>
            <w:vAlign w:val="bottom"/>
            <w:hideMark/>
          </w:tcPr>
          <w:p w:rsidR="00D2658F" w:rsidRPr="00D2658F" w:rsidRDefault="00D2658F" w:rsidP="00D2658F">
            <w:pPr>
              <w:jc w:val="left"/>
              <w:rPr>
                <w:rFonts w:cs="Arial"/>
                <w:b/>
                <w:bCs/>
                <w:color w:val="FFFFFF"/>
                <w:sz w:val="12"/>
                <w:szCs w:val="10"/>
              </w:rPr>
            </w:pPr>
            <w:r w:rsidRPr="00D2658F">
              <w:rPr>
                <w:rFonts w:cs="Arial"/>
                <w:b/>
                <w:bCs/>
                <w:color w:val="FFFFFF"/>
                <w:sz w:val="12"/>
                <w:szCs w:val="10"/>
              </w:rPr>
              <w:t>AKTIVITET</w:t>
            </w:r>
          </w:p>
        </w:tc>
        <w:tc>
          <w:tcPr>
            <w:tcW w:w="480" w:type="dxa"/>
            <w:tcBorders>
              <w:top w:val="single" w:sz="8" w:space="0" w:color="auto"/>
              <w:left w:val="single" w:sz="8" w:space="0" w:color="auto"/>
              <w:bottom w:val="single" w:sz="8" w:space="0" w:color="auto"/>
              <w:right w:val="single" w:sz="8"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2013</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2014</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2015</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2016</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2017</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2018</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2019</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2020</w:t>
            </w:r>
          </w:p>
        </w:tc>
        <w:tc>
          <w:tcPr>
            <w:tcW w:w="480" w:type="dxa"/>
            <w:tcBorders>
              <w:top w:val="single" w:sz="8" w:space="0" w:color="auto"/>
              <w:left w:val="single" w:sz="4" w:space="0" w:color="auto"/>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2021</w:t>
            </w:r>
          </w:p>
        </w:tc>
        <w:tc>
          <w:tcPr>
            <w:tcW w:w="480" w:type="dxa"/>
            <w:tcBorders>
              <w:top w:val="single" w:sz="8" w:space="0" w:color="auto"/>
              <w:left w:val="nil"/>
              <w:bottom w:val="single" w:sz="8" w:space="0" w:color="auto"/>
              <w:right w:val="single" w:sz="4" w:space="0" w:color="auto"/>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2022</w:t>
            </w:r>
          </w:p>
        </w:tc>
        <w:tc>
          <w:tcPr>
            <w:tcW w:w="480" w:type="dxa"/>
            <w:tcBorders>
              <w:top w:val="single" w:sz="8" w:space="0" w:color="auto"/>
              <w:left w:val="nil"/>
              <w:bottom w:val="single" w:sz="8" w:space="0" w:color="auto"/>
              <w:right w:val="nil"/>
            </w:tcBorders>
            <w:shd w:val="clear" w:color="000000" w:fill="A6A6A6"/>
            <w:noWrap/>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2023</w:t>
            </w:r>
          </w:p>
        </w:tc>
        <w:tc>
          <w:tcPr>
            <w:tcW w:w="500" w:type="dxa"/>
            <w:tcBorders>
              <w:top w:val="single" w:sz="8" w:space="0" w:color="auto"/>
              <w:left w:val="single" w:sz="8" w:space="0" w:color="auto"/>
              <w:bottom w:val="single" w:sz="8" w:space="0" w:color="auto"/>
              <w:right w:val="single" w:sz="8" w:space="0" w:color="auto"/>
            </w:tcBorders>
            <w:shd w:val="clear" w:color="000000" w:fill="A6A6A6"/>
            <w:vAlign w:val="bottom"/>
            <w:hideMark/>
          </w:tcPr>
          <w:p w:rsidR="00D2658F" w:rsidRPr="00D2658F" w:rsidRDefault="00D2658F" w:rsidP="00D2658F">
            <w:pPr>
              <w:jc w:val="center"/>
              <w:rPr>
                <w:rFonts w:cs="Arial"/>
                <w:b/>
                <w:bCs/>
                <w:color w:val="FFFFFF"/>
                <w:sz w:val="12"/>
                <w:szCs w:val="10"/>
              </w:rPr>
            </w:pPr>
            <w:r w:rsidRPr="00D2658F">
              <w:rPr>
                <w:rFonts w:cs="Arial"/>
                <w:b/>
                <w:bCs/>
                <w:color w:val="FFFFFF"/>
                <w:sz w:val="12"/>
                <w:szCs w:val="10"/>
              </w:rPr>
              <w:t>2013 -</w:t>
            </w:r>
            <w:r w:rsidRPr="00D2658F">
              <w:rPr>
                <w:rFonts w:cs="Arial"/>
                <w:b/>
                <w:bCs/>
                <w:color w:val="FFFFFF"/>
                <w:sz w:val="12"/>
                <w:szCs w:val="10"/>
              </w:rPr>
              <w:br/>
              <w:t xml:space="preserve">2023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Projektledelse Ejerfortegnelse (forretning)</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color w:val="FF0000"/>
                <w:sz w:val="12"/>
                <w:szCs w:val="10"/>
              </w:rPr>
            </w:pPr>
            <w:r w:rsidRPr="00D2658F">
              <w:rPr>
                <w:rFonts w:cs="Arial"/>
                <w:color w:val="FF0000"/>
                <w:sz w:val="12"/>
                <w:szCs w:val="10"/>
              </w:rPr>
              <w:t xml:space="preserve">-0,37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-0,75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-0,38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-2,25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Projektomk. Ejerfortegnelse</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-1,24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-1,24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-2,48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Kravspecifikation Ejerfortegnelse</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-0,50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-0,50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Udvikling af EF og TB</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-5,22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-5,72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-10,94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000000" w:fill="F2F2F2"/>
            <w:vAlign w:val="center"/>
            <w:hideMark/>
          </w:tcPr>
          <w:p w:rsidR="00D2658F" w:rsidRPr="00D2658F" w:rsidRDefault="00D2658F" w:rsidP="00D2658F">
            <w:pPr>
              <w:jc w:val="left"/>
              <w:outlineLvl w:val="0"/>
              <w:rPr>
                <w:rFonts w:cs="Arial"/>
                <w:sz w:val="12"/>
                <w:szCs w:val="10"/>
              </w:rPr>
            </w:pPr>
            <w:r w:rsidRPr="00D2658F">
              <w:rPr>
                <w:rFonts w:cs="Arial"/>
                <w:sz w:val="12"/>
                <w:szCs w:val="10"/>
              </w:rPr>
              <w:t>Samlet udvikling af EF og Tingbog</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-0,37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-5,72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-5,72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000000" w:fill="F2F2F2"/>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-11,81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Forrretningsansvar og change management EF</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-0,40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-0,40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-0,40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-3,60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auto" w:fill="auto"/>
            <w:vAlign w:val="center"/>
            <w:hideMark/>
          </w:tcPr>
          <w:p w:rsidR="00D2658F" w:rsidRPr="00D2658F" w:rsidRDefault="00D2658F" w:rsidP="00D2658F">
            <w:pPr>
              <w:ind w:firstLineChars="100" w:firstLine="120"/>
              <w:jc w:val="left"/>
              <w:outlineLvl w:val="0"/>
              <w:rPr>
                <w:rFonts w:cs="Arial"/>
                <w:sz w:val="12"/>
                <w:szCs w:val="10"/>
              </w:rPr>
            </w:pPr>
            <w:r w:rsidRPr="00D2658F">
              <w:rPr>
                <w:rFonts w:cs="Arial"/>
                <w:sz w:val="12"/>
                <w:szCs w:val="10"/>
              </w:rPr>
              <w:t>Ordinær drift Ejerfortegnelse</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-2,05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-2,05 </w:t>
            </w:r>
          </w:p>
        </w:tc>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-2,05 </w:t>
            </w:r>
          </w:p>
        </w:tc>
        <w:tc>
          <w:tcPr>
            <w:tcW w:w="480" w:type="dxa"/>
            <w:tcBorders>
              <w:top w:val="nil"/>
              <w:left w:val="nil"/>
              <w:bottom w:val="single" w:sz="4" w:space="0" w:color="auto"/>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-2,05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-18,45 </w:t>
            </w:r>
          </w:p>
        </w:tc>
      </w:tr>
      <w:tr w:rsidR="00D2658F" w:rsidRPr="00D2658F" w:rsidTr="00D2658F">
        <w:trPr>
          <w:trHeight w:val="228"/>
        </w:trPr>
        <w:tc>
          <w:tcPr>
            <w:tcW w:w="2760" w:type="dxa"/>
            <w:tcBorders>
              <w:top w:val="nil"/>
              <w:left w:val="single" w:sz="8" w:space="0" w:color="auto"/>
              <w:bottom w:val="single" w:sz="4" w:space="0" w:color="auto"/>
              <w:right w:val="single" w:sz="8" w:space="0" w:color="auto"/>
            </w:tcBorders>
            <w:shd w:val="clear" w:color="000000" w:fill="F2F2F2"/>
            <w:vAlign w:val="center"/>
            <w:hideMark/>
          </w:tcPr>
          <w:p w:rsidR="00D2658F" w:rsidRPr="00D2658F" w:rsidRDefault="00D2658F" w:rsidP="00D2658F">
            <w:pPr>
              <w:jc w:val="left"/>
              <w:outlineLvl w:val="0"/>
              <w:rPr>
                <w:rFonts w:cs="Arial"/>
                <w:sz w:val="12"/>
                <w:szCs w:val="10"/>
              </w:rPr>
            </w:pPr>
            <w:r w:rsidRPr="00D2658F">
              <w:rPr>
                <w:rFonts w:cs="Arial"/>
                <w:sz w:val="12"/>
                <w:szCs w:val="10"/>
              </w:rPr>
              <w:t>Samlet drift Ejerfortegnelse</w:t>
            </w:r>
          </w:p>
        </w:tc>
        <w:tc>
          <w:tcPr>
            <w:tcW w:w="480" w:type="dxa"/>
            <w:tcBorders>
              <w:top w:val="nil"/>
              <w:left w:val="nil"/>
              <w:bottom w:val="single" w:sz="4" w:space="0" w:color="auto"/>
              <w:right w:val="single" w:sz="4" w:space="0" w:color="auto"/>
            </w:tcBorders>
            <w:shd w:val="clear" w:color="000000" w:fill="F2F2F2"/>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-2,45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-2,45 </w:t>
            </w:r>
          </w:p>
        </w:tc>
        <w:tc>
          <w:tcPr>
            <w:tcW w:w="480" w:type="dxa"/>
            <w:tcBorders>
              <w:top w:val="nil"/>
              <w:left w:val="single" w:sz="4" w:space="0" w:color="auto"/>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-2,45 </w:t>
            </w:r>
          </w:p>
        </w:tc>
        <w:tc>
          <w:tcPr>
            <w:tcW w:w="480" w:type="dxa"/>
            <w:tcBorders>
              <w:top w:val="nil"/>
              <w:left w:val="nil"/>
              <w:bottom w:val="single" w:sz="4" w:space="0" w:color="auto"/>
              <w:right w:val="single" w:sz="4" w:space="0" w:color="auto"/>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-2,45 </w:t>
            </w:r>
          </w:p>
        </w:tc>
        <w:tc>
          <w:tcPr>
            <w:tcW w:w="480" w:type="dxa"/>
            <w:tcBorders>
              <w:top w:val="nil"/>
              <w:left w:val="nil"/>
              <w:bottom w:val="single" w:sz="4" w:space="0" w:color="auto"/>
              <w:right w:val="nil"/>
            </w:tcBorders>
            <w:shd w:val="clear" w:color="000000" w:fill="F2F2F2"/>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-2,45 </w:t>
            </w:r>
          </w:p>
        </w:tc>
        <w:tc>
          <w:tcPr>
            <w:tcW w:w="500" w:type="dxa"/>
            <w:tcBorders>
              <w:top w:val="nil"/>
              <w:left w:val="single" w:sz="8" w:space="0" w:color="auto"/>
              <w:bottom w:val="single" w:sz="4" w:space="0" w:color="auto"/>
              <w:right w:val="single" w:sz="8" w:space="0" w:color="auto"/>
            </w:tcBorders>
            <w:shd w:val="clear" w:color="000000" w:fill="F2F2F2"/>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-22,05 </w:t>
            </w:r>
          </w:p>
        </w:tc>
      </w:tr>
      <w:tr w:rsidR="00D2658F" w:rsidRPr="00D2658F" w:rsidTr="00D2658F">
        <w:trPr>
          <w:trHeight w:val="228"/>
        </w:trPr>
        <w:tc>
          <w:tcPr>
            <w:tcW w:w="2760" w:type="dxa"/>
            <w:tcBorders>
              <w:top w:val="nil"/>
              <w:left w:val="single" w:sz="8" w:space="0" w:color="auto"/>
              <w:bottom w:val="nil"/>
              <w:right w:val="single" w:sz="8" w:space="0" w:color="auto"/>
            </w:tcBorders>
            <w:shd w:val="clear" w:color="auto" w:fill="auto"/>
            <w:vAlign w:val="center"/>
            <w:hideMark/>
          </w:tcPr>
          <w:p w:rsidR="00D2658F" w:rsidRPr="00D2658F" w:rsidRDefault="00D2658F" w:rsidP="00D2658F">
            <w:pPr>
              <w:jc w:val="left"/>
              <w:outlineLvl w:val="0"/>
              <w:rPr>
                <w:rFonts w:cs="Arial"/>
                <w:sz w:val="12"/>
                <w:szCs w:val="10"/>
              </w:rPr>
            </w:pPr>
            <w:r w:rsidRPr="00D2658F">
              <w:rPr>
                <w:rFonts w:cs="Arial"/>
                <w:sz w:val="12"/>
                <w:szCs w:val="10"/>
              </w:rPr>
              <w:t>Datavask Tingbog</w:t>
            </w:r>
          </w:p>
        </w:tc>
        <w:tc>
          <w:tcPr>
            <w:tcW w:w="480" w:type="dxa"/>
            <w:tcBorders>
              <w:top w:val="nil"/>
              <w:left w:val="nil"/>
              <w:bottom w:val="single" w:sz="4" w:space="0" w:color="auto"/>
              <w:right w:val="single" w:sz="4" w:space="0" w:color="auto"/>
            </w:tcBorders>
            <w:shd w:val="clear" w:color="auto" w:fill="auto"/>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-0,25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color w:val="FF0000"/>
                <w:sz w:val="12"/>
                <w:szCs w:val="10"/>
              </w:rPr>
              <w:t xml:space="preserve">-0,25 </w:t>
            </w:r>
          </w:p>
        </w:tc>
        <w:tc>
          <w:tcPr>
            <w:tcW w:w="480" w:type="dxa"/>
            <w:tcBorders>
              <w:top w:val="nil"/>
              <w:left w:val="nil"/>
              <w:bottom w:val="single" w:sz="4" w:space="0" w:color="auto"/>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single" w:sz="4" w:space="0" w:color="auto"/>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single" w:sz="4" w:space="0" w:color="auto"/>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480" w:type="dxa"/>
            <w:tcBorders>
              <w:top w:val="nil"/>
              <w:left w:val="nil"/>
              <w:bottom w:val="nil"/>
              <w:right w:val="nil"/>
            </w:tcBorders>
            <w:shd w:val="clear" w:color="auto" w:fill="auto"/>
            <w:noWrap/>
            <w:vAlign w:val="center"/>
            <w:hideMark/>
          </w:tcPr>
          <w:p w:rsidR="00D2658F" w:rsidRPr="00D2658F" w:rsidRDefault="00D2658F" w:rsidP="00D2658F">
            <w:pPr>
              <w:jc w:val="right"/>
              <w:outlineLvl w:val="0"/>
              <w:rPr>
                <w:rFonts w:cs="Arial"/>
                <w:sz w:val="12"/>
                <w:szCs w:val="10"/>
              </w:rPr>
            </w:pPr>
            <w:r w:rsidRPr="00D2658F">
              <w:rPr>
                <w:rFonts w:cs="Arial"/>
                <w:sz w:val="12"/>
                <w:szCs w:val="10"/>
              </w:rPr>
              <w:t xml:space="preserve">0,00 </w:t>
            </w:r>
          </w:p>
        </w:tc>
        <w:tc>
          <w:tcPr>
            <w:tcW w:w="500" w:type="dxa"/>
            <w:tcBorders>
              <w:top w:val="nil"/>
              <w:left w:val="single" w:sz="8" w:space="0" w:color="auto"/>
              <w:bottom w:val="single" w:sz="4" w:space="0" w:color="auto"/>
              <w:right w:val="single" w:sz="8" w:space="0" w:color="auto"/>
            </w:tcBorders>
            <w:shd w:val="clear" w:color="auto" w:fill="auto"/>
            <w:noWrap/>
            <w:vAlign w:val="center"/>
            <w:hideMark/>
          </w:tcPr>
          <w:p w:rsidR="00D2658F" w:rsidRPr="00D2658F" w:rsidRDefault="00D2658F" w:rsidP="00D2658F">
            <w:pPr>
              <w:jc w:val="right"/>
              <w:outlineLvl w:val="0"/>
              <w:rPr>
                <w:rFonts w:cs="Arial"/>
                <w:b/>
                <w:sz w:val="12"/>
                <w:szCs w:val="10"/>
              </w:rPr>
            </w:pPr>
            <w:r w:rsidRPr="00D2658F">
              <w:rPr>
                <w:rFonts w:cs="Arial"/>
                <w:b/>
                <w:color w:val="FF0000"/>
                <w:sz w:val="12"/>
                <w:szCs w:val="10"/>
              </w:rPr>
              <w:t xml:space="preserve">-0,50 </w:t>
            </w:r>
          </w:p>
        </w:tc>
      </w:tr>
      <w:tr w:rsidR="00D2658F" w:rsidRPr="00D2658F" w:rsidTr="00B76855">
        <w:trPr>
          <w:trHeight w:val="228"/>
        </w:trPr>
        <w:tc>
          <w:tcPr>
            <w:tcW w:w="2760" w:type="dxa"/>
            <w:tcBorders>
              <w:top w:val="single" w:sz="4" w:space="0" w:color="auto"/>
              <w:left w:val="single" w:sz="8" w:space="0" w:color="auto"/>
              <w:bottom w:val="single" w:sz="8" w:space="0" w:color="auto"/>
              <w:right w:val="single" w:sz="8" w:space="0" w:color="auto"/>
            </w:tcBorders>
            <w:shd w:val="clear" w:color="auto" w:fill="C6D9F1" w:themeFill="text2" w:themeFillTint="33"/>
            <w:vAlign w:val="center"/>
            <w:hideMark/>
          </w:tcPr>
          <w:p w:rsidR="00D2658F" w:rsidRPr="00D2658F" w:rsidRDefault="00D2658F" w:rsidP="00B76855">
            <w:pPr>
              <w:jc w:val="left"/>
              <w:rPr>
                <w:rFonts w:cs="Arial"/>
                <w:b/>
                <w:bCs/>
                <w:sz w:val="12"/>
                <w:szCs w:val="10"/>
              </w:rPr>
            </w:pPr>
            <w:r w:rsidRPr="00D2658F">
              <w:rPr>
                <w:rFonts w:cs="Arial"/>
                <w:b/>
                <w:bCs/>
                <w:sz w:val="12"/>
                <w:szCs w:val="10"/>
              </w:rPr>
              <w:t>Tinglysningsretten i alt</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-0,62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-7,97 </w:t>
            </w:r>
          </w:p>
        </w:tc>
        <w:tc>
          <w:tcPr>
            <w:tcW w:w="480" w:type="dxa"/>
            <w:tcBorders>
              <w:top w:val="nil"/>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-10,16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-2,83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-2,45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-2,45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-2,45 </w:t>
            </w:r>
          </w:p>
        </w:tc>
        <w:tc>
          <w:tcPr>
            <w:tcW w:w="480" w:type="dxa"/>
            <w:tcBorders>
              <w:top w:val="single" w:sz="4" w:space="0" w:color="auto"/>
              <w:left w:val="nil"/>
              <w:bottom w:val="single" w:sz="8" w:space="0" w:color="auto"/>
              <w:right w:val="nil"/>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-2,45 </w:t>
            </w:r>
          </w:p>
        </w:tc>
        <w:tc>
          <w:tcPr>
            <w:tcW w:w="480" w:type="dxa"/>
            <w:tcBorders>
              <w:top w:val="single" w:sz="4" w:space="0" w:color="auto"/>
              <w:left w:val="single" w:sz="4" w:space="0" w:color="auto"/>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-2,45 </w:t>
            </w:r>
          </w:p>
        </w:tc>
        <w:tc>
          <w:tcPr>
            <w:tcW w:w="480" w:type="dxa"/>
            <w:tcBorders>
              <w:top w:val="single" w:sz="4" w:space="0" w:color="auto"/>
              <w:left w:val="nil"/>
              <w:bottom w:val="single" w:sz="8" w:space="0" w:color="auto"/>
              <w:right w:val="single" w:sz="4" w:space="0" w:color="auto"/>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-2,45 </w:t>
            </w:r>
          </w:p>
        </w:tc>
        <w:tc>
          <w:tcPr>
            <w:tcW w:w="480" w:type="dxa"/>
            <w:tcBorders>
              <w:top w:val="single" w:sz="4" w:space="0" w:color="auto"/>
              <w:left w:val="nil"/>
              <w:bottom w:val="single" w:sz="8" w:space="0" w:color="auto"/>
              <w:right w:val="nil"/>
            </w:tcBorders>
            <w:shd w:val="clear" w:color="auto" w:fill="C6D9F1" w:themeFill="text2" w:themeFillTint="33"/>
            <w:noWrap/>
            <w:vAlign w:val="center"/>
            <w:hideMark/>
          </w:tcPr>
          <w:p w:rsidR="00D2658F" w:rsidRPr="00D2658F" w:rsidRDefault="00D2658F" w:rsidP="00D2658F">
            <w:pPr>
              <w:jc w:val="right"/>
              <w:rPr>
                <w:rFonts w:cs="Arial"/>
                <w:b/>
                <w:bCs/>
                <w:sz w:val="12"/>
                <w:szCs w:val="10"/>
              </w:rPr>
            </w:pPr>
            <w:r w:rsidRPr="00D2658F">
              <w:rPr>
                <w:rFonts w:cs="Arial"/>
                <w:b/>
                <w:bCs/>
                <w:color w:val="FF0000"/>
                <w:sz w:val="12"/>
                <w:szCs w:val="10"/>
              </w:rPr>
              <w:t xml:space="preserve">-2,45 </w:t>
            </w:r>
          </w:p>
        </w:tc>
        <w:tc>
          <w:tcPr>
            <w:tcW w:w="500" w:type="dxa"/>
            <w:tcBorders>
              <w:top w:val="nil"/>
              <w:left w:val="single" w:sz="8" w:space="0" w:color="auto"/>
              <w:bottom w:val="single" w:sz="8" w:space="0" w:color="auto"/>
              <w:right w:val="single" w:sz="8" w:space="0" w:color="auto"/>
            </w:tcBorders>
            <w:shd w:val="clear" w:color="auto" w:fill="C6D9F1" w:themeFill="text2" w:themeFillTint="33"/>
            <w:noWrap/>
            <w:vAlign w:val="center"/>
            <w:hideMark/>
          </w:tcPr>
          <w:p w:rsidR="00D2658F" w:rsidRPr="00D2658F" w:rsidRDefault="00D2658F" w:rsidP="00D2658F">
            <w:pPr>
              <w:jc w:val="right"/>
              <w:rPr>
                <w:rFonts w:cs="Arial"/>
                <w:b/>
                <w:sz w:val="12"/>
                <w:szCs w:val="10"/>
              </w:rPr>
            </w:pPr>
            <w:r w:rsidRPr="00D2658F">
              <w:rPr>
                <w:rFonts w:cs="Arial"/>
                <w:b/>
                <w:color w:val="FF0000"/>
                <w:sz w:val="12"/>
                <w:szCs w:val="10"/>
              </w:rPr>
              <w:t xml:space="preserve">-38,73 </w:t>
            </w:r>
          </w:p>
        </w:tc>
      </w:tr>
    </w:tbl>
    <w:p w:rsidR="00183898" w:rsidRPr="00AC5579" w:rsidRDefault="00252534" w:rsidP="00252534">
      <w:pPr>
        <w:pStyle w:val="Billedtekst"/>
      </w:pPr>
      <w:r w:rsidRPr="00AC5579">
        <w:t xml:space="preserve">Tabel </w:t>
      </w:r>
      <w:r w:rsidR="004B01EA">
        <w:fldChar w:fldCharType="begin"/>
      </w:r>
      <w:r w:rsidR="004B01EA">
        <w:instrText xml:space="preserve"> SEQ Tabel \* ARABIC </w:instrText>
      </w:r>
      <w:r w:rsidR="004B01EA">
        <w:fldChar w:fldCharType="separate"/>
      </w:r>
      <w:r w:rsidR="00B53FEA">
        <w:rPr>
          <w:noProof/>
        </w:rPr>
        <w:t>8</w:t>
      </w:r>
      <w:r w:rsidR="004B01EA">
        <w:rPr>
          <w:noProof/>
        </w:rPr>
        <w:fldChar w:fldCharType="end"/>
      </w:r>
      <w:r w:rsidRPr="00AC5579">
        <w:t xml:space="preserve">: </w:t>
      </w:r>
      <w:r w:rsidR="004C664A">
        <w:t>B</w:t>
      </w:r>
      <w:r w:rsidR="004C664A" w:rsidRPr="00AC5579">
        <w:t xml:space="preserve">udget </w:t>
      </w:r>
      <w:r w:rsidR="004C664A">
        <w:t xml:space="preserve">(mio. kr) </w:t>
      </w:r>
      <w:r w:rsidR="004C664A" w:rsidRPr="00AC5579">
        <w:t xml:space="preserve">for </w:t>
      </w:r>
      <w:r w:rsidR="004C664A">
        <w:t>Domstolsstyrelsens</w:t>
      </w:r>
      <w:r w:rsidR="004C664A" w:rsidRPr="00AC5579">
        <w:t xml:space="preserve"> medvirken i gennemførelse af </w:t>
      </w:r>
      <w:r w:rsidR="004C664A">
        <w:t>delaftale 1</w:t>
      </w:r>
      <w:r w:rsidR="004C664A" w:rsidRPr="00AC5579">
        <w:t xml:space="preserve">: </w:t>
      </w:r>
      <w:r w:rsidR="007E4401">
        <w:t>Effektiv ejendomsforvaltning</w:t>
      </w:r>
      <w:r w:rsidR="004C664A" w:rsidRPr="00AC5579">
        <w:t xml:space="preserve"> og genbrug af ejendomsdata.</w:t>
      </w:r>
      <w:r w:rsidR="004C664A">
        <w:t xml:space="preserve"> Budgettet er udgiftsbaseret før afskrivninger og risikokorrektion, jf. DIGSTs business case model.</w:t>
      </w:r>
    </w:p>
    <w:p w:rsidR="00183898" w:rsidRPr="00AC5579" w:rsidRDefault="00183898" w:rsidP="00183898"/>
    <w:p w:rsidR="00183898" w:rsidRPr="00AC5579" w:rsidRDefault="00183898" w:rsidP="00183898"/>
    <w:tbl>
      <w:tblPr>
        <w:tblW w:w="80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3"/>
        <w:gridCol w:w="1701"/>
        <w:gridCol w:w="1639"/>
      </w:tblGrid>
      <w:tr w:rsidR="00892CC5" w:rsidRPr="00AC5579" w:rsidTr="00892CC5">
        <w:trPr>
          <w:trHeight w:val="270"/>
        </w:trPr>
        <w:tc>
          <w:tcPr>
            <w:tcW w:w="4693" w:type="dxa"/>
            <w:shd w:val="clear" w:color="auto" w:fill="A6A6A6"/>
            <w:noWrap/>
            <w:vAlign w:val="bottom"/>
          </w:tcPr>
          <w:p w:rsidR="00892CC5" w:rsidRPr="00AC5579" w:rsidRDefault="00892CC5" w:rsidP="00183898">
            <w:pPr>
              <w:pStyle w:val="MPBrdtekst"/>
              <w:jc w:val="left"/>
              <w:rPr>
                <w:rFonts w:ascii="Calibri" w:hAnsi="Calibri" w:cs="Calibri"/>
                <w:b/>
                <w:color w:val="FFFFFF"/>
                <w:sz w:val="20"/>
                <w:szCs w:val="20"/>
              </w:rPr>
            </w:pPr>
            <w:r w:rsidRPr="00AC5579">
              <w:rPr>
                <w:rFonts w:ascii="Calibri" w:hAnsi="Calibri" w:cs="Calibri"/>
                <w:b/>
                <w:color w:val="FFFFFF"/>
                <w:sz w:val="20"/>
                <w:szCs w:val="20"/>
              </w:rPr>
              <w:t xml:space="preserve">Beskrivelse </w:t>
            </w:r>
          </w:p>
        </w:tc>
        <w:tc>
          <w:tcPr>
            <w:tcW w:w="1701" w:type="dxa"/>
            <w:shd w:val="clear" w:color="auto" w:fill="A6A6A6"/>
            <w:noWrap/>
            <w:vAlign w:val="bottom"/>
          </w:tcPr>
          <w:p w:rsidR="00892CC5" w:rsidRPr="00AC5579" w:rsidRDefault="00892CC5" w:rsidP="00183898">
            <w:pPr>
              <w:pStyle w:val="MPBrdtekst"/>
              <w:jc w:val="left"/>
              <w:rPr>
                <w:rFonts w:ascii="Calibri" w:hAnsi="Calibri" w:cs="Calibri"/>
                <w:b/>
                <w:color w:val="FFFFFF"/>
                <w:sz w:val="20"/>
                <w:szCs w:val="20"/>
              </w:rPr>
            </w:pPr>
            <w:r w:rsidRPr="00AC5579">
              <w:rPr>
                <w:rFonts w:ascii="Calibri" w:hAnsi="Calibri" w:cs="Calibri"/>
                <w:b/>
                <w:color w:val="FFFFFF"/>
                <w:sz w:val="20"/>
                <w:szCs w:val="20"/>
              </w:rPr>
              <w:t>Etablerings-omkostninger</w:t>
            </w:r>
          </w:p>
        </w:tc>
        <w:tc>
          <w:tcPr>
            <w:tcW w:w="1639" w:type="dxa"/>
            <w:shd w:val="clear" w:color="auto" w:fill="A6A6A6"/>
            <w:noWrap/>
            <w:vAlign w:val="bottom"/>
          </w:tcPr>
          <w:p w:rsidR="00892CC5" w:rsidRPr="00AC5579" w:rsidRDefault="00892CC5" w:rsidP="00183898">
            <w:pPr>
              <w:pStyle w:val="MPBrdtekst"/>
              <w:jc w:val="left"/>
              <w:rPr>
                <w:rFonts w:ascii="Calibri" w:hAnsi="Calibri" w:cs="Calibri"/>
                <w:b/>
                <w:color w:val="FFFFFF"/>
                <w:sz w:val="20"/>
                <w:szCs w:val="20"/>
              </w:rPr>
            </w:pPr>
            <w:r w:rsidRPr="00AC5579">
              <w:rPr>
                <w:rFonts w:ascii="Calibri" w:hAnsi="Calibri" w:cs="Calibri"/>
                <w:b/>
                <w:color w:val="FFFFFF"/>
                <w:sz w:val="20"/>
                <w:szCs w:val="20"/>
              </w:rPr>
              <w:t>Årlige drifts-omkostninger</w:t>
            </w:r>
          </w:p>
        </w:tc>
      </w:tr>
      <w:tr w:rsidR="00892CC5" w:rsidRPr="00AC5579" w:rsidTr="0013267C">
        <w:trPr>
          <w:trHeight w:val="255"/>
        </w:trPr>
        <w:tc>
          <w:tcPr>
            <w:tcW w:w="4693" w:type="dxa"/>
            <w:shd w:val="clear" w:color="auto" w:fill="auto"/>
            <w:noWrap/>
            <w:vAlign w:val="bottom"/>
          </w:tcPr>
          <w:p w:rsidR="00892CC5" w:rsidRPr="00AC5579" w:rsidRDefault="00892CC5" w:rsidP="00183898">
            <w:pPr>
              <w:jc w:val="left"/>
              <w:rPr>
                <w:rFonts w:cs="Calibri"/>
                <w:b/>
                <w:sz w:val="20"/>
                <w:szCs w:val="20"/>
              </w:rPr>
            </w:pPr>
            <w:r w:rsidRPr="00AC5579">
              <w:rPr>
                <w:rFonts w:cs="Calibri"/>
                <w:b/>
                <w:sz w:val="20"/>
                <w:szCs w:val="20"/>
              </w:rPr>
              <w:t>HW/SW platformsudvidelser</w:t>
            </w:r>
          </w:p>
        </w:tc>
        <w:tc>
          <w:tcPr>
            <w:tcW w:w="1701" w:type="dxa"/>
            <w:shd w:val="clear" w:color="auto" w:fill="auto"/>
            <w:noWrap/>
            <w:vAlign w:val="bottom"/>
          </w:tcPr>
          <w:p w:rsidR="00892CC5" w:rsidRPr="00AC5579" w:rsidRDefault="00892CC5" w:rsidP="00183898">
            <w:pPr>
              <w:jc w:val="right"/>
              <w:rPr>
                <w:rFonts w:cs="Calibri"/>
                <w:b/>
                <w:sz w:val="20"/>
                <w:szCs w:val="20"/>
              </w:rPr>
            </w:pPr>
            <w:r w:rsidRPr="00AC5579">
              <w:rPr>
                <w:rFonts w:cs="Calibri"/>
                <w:b/>
                <w:sz w:val="20"/>
                <w:szCs w:val="20"/>
              </w:rPr>
              <w:t>0</w:t>
            </w:r>
          </w:p>
        </w:tc>
        <w:tc>
          <w:tcPr>
            <w:tcW w:w="1639" w:type="dxa"/>
            <w:shd w:val="clear" w:color="auto" w:fill="auto"/>
            <w:noWrap/>
            <w:vAlign w:val="bottom"/>
          </w:tcPr>
          <w:p w:rsidR="00892CC5" w:rsidRPr="00AC5579" w:rsidRDefault="00892CC5" w:rsidP="00183898">
            <w:pPr>
              <w:jc w:val="right"/>
              <w:rPr>
                <w:rFonts w:cs="Calibri"/>
                <w:b/>
                <w:sz w:val="20"/>
                <w:szCs w:val="20"/>
              </w:rPr>
            </w:pPr>
            <w:r w:rsidRPr="00AC5579">
              <w:rPr>
                <w:rFonts w:cs="Calibri"/>
                <w:b/>
                <w:sz w:val="20"/>
                <w:szCs w:val="20"/>
              </w:rPr>
              <w:t>0</w:t>
            </w:r>
          </w:p>
        </w:tc>
      </w:tr>
      <w:tr w:rsidR="00892CC5" w:rsidRPr="00AC5579" w:rsidTr="00183898">
        <w:trPr>
          <w:trHeight w:val="255"/>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Services ifm. BFE</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1.215.000</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303.750</w:t>
            </w:r>
          </w:p>
        </w:tc>
      </w:tr>
      <w:tr w:rsidR="00892CC5" w:rsidRPr="00AC5579" w:rsidTr="00183898">
        <w:trPr>
          <w:trHeight w:val="255"/>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Integrationer  ifm. BFE</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486.000</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121.500</w:t>
            </w:r>
          </w:p>
        </w:tc>
      </w:tr>
      <w:tr w:rsidR="00892CC5" w:rsidRPr="00AC5579" w:rsidTr="00183898">
        <w:trPr>
          <w:trHeight w:val="255"/>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Tilretning af Tingbog  ifm. BFE</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1.500.000</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375.000</w:t>
            </w:r>
          </w:p>
        </w:tc>
      </w:tr>
      <w:tr w:rsidR="00892CC5" w:rsidRPr="00AC5579" w:rsidTr="00183898">
        <w:trPr>
          <w:trHeight w:val="255"/>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 xml:space="preserve">Platform og databasetilføjelser (Ejerfortegnelse) </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1.822.500</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455.625</w:t>
            </w:r>
          </w:p>
        </w:tc>
      </w:tr>
      <w:tr w:rsidR="00892CC5" w:rsidRPr="00AC5579" w:rsidTr="00183898">
        <w:trPr>
          <w:trHeight w:val="255"/>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Klienter, GUI og services  (Ejerfortegnelse)</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729.000</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182.250</w:t>
            </w:r>
          </w:p>
        </w:tc>
      </w:tr>
      <w:tr w:rsidR="00892CC5" w:rsidRPr="00AC5579" w:rsidTr="00183898">
        <w:trPr>
          <w:trHeight w:val="70"/>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Integrationer  (Ejerfortegnelse)</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1.701.000</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425.250</w:t>
            </w:r>
          </w:p>
        </w:tc>
      </w:tr>
      <w:tr w:rsidR="00892CC5" w:rsidRPr="00AC5579" w:rsidTr="00183898">
        <w:trPr>
          <w:trHeight w:val="255"/>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Overførsel af ejerdata fra ESR</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750.000</w:t>
            </w:r>
          </w:p>
        </w:tc>
        <w:tc>
          <w:tcPr>
            <w:tcW w:w="1639" w:type="dxa"/>
            <w:shd w:val="clear" w:color="auto" w:fill="auto"/>
            <w:noWrap/>
            <w:vAlign w:val="bottom"/>
          </w:tcPr>
          <w:p w:rsidR="00892CC5" w:rsidRPr="00AC5579" w:rsidRDefault="00892CC5">
            <w:pPr>
              <w:rPr>
                <w:rFonts w:cs="Calibri"/>
                <w:sz w:val="20"/>
                <w:szCs w:val="20"/>
              </w:rPr>
            </w:pPr>
            <w:r w:rsidRPr="00AC5579">
              <w:rPr>
                <w:rFonts w:cs="Calibri"/>
                <w:sz w:val="20"/>
                <w:szCs w:val="20"/>
              </w:rPr>
              <w:t> </w:t>
            </w:r>
          </w:p>
        </w:tc>
      </w:tr>
      <w:tr w:rsidR="00892CC5" w:rsidRPr="00AC5579" w:rsidTr="00183898">
        <w:trPr>
          <w:trHeight w:val="255"/>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Ændringsimplement.</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745.350</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186.338</w:t>
            </w:r>
          </w:p>
        </w:tc>
      </w:tr>
      <w:tr w:rsidR="00892CC5" w:rsidRPr="00AC5579" w:rsidTr="00183898">
        <w:trPr>
          <w:trHeight w:val="255"/>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Kravspecifikation</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500.000</w:t>
            </w:r>
          </w:p>
        </w:tc>
        <w:tc>
          <w:tcPr>
            <w:tcW w:w="1639" w:type="dxa"/>
            <w:shd w:val="clear" w:color="auto" w:fill="auto"/>
            <w:noWrap/>
            <w:vAlign w:val="bottom"/>
          </w:tcPr>
          <w:p w:rsidR="00892CC5" w:rsidRPr="00AC5579" w:rsidRDefault="00892CC5">
            <w:pPr>
              <w:rPr>
                <w:rFonts w:cs="Calibri"/>
                <w:sz w:val="20"/>
                <w:szCs w:val="20"/>
              </w:rPr>
            </w:pPr>
            <w:r w:rsidRPr="00AC5579">
              <w:rPr>
                <w:rFonts w:cs="Calibri"/>
                <w:sz w:val="20"/>
                <w:szCs w:val="20"/>
              </w:rPr>
              <w:t> </w:t>
            </w:r>
          </w:p>
        </w:tc>
      </w:tr>
      <w:tr w:rsidR="00892CC5" w:rsidRPr="00AC5579" w:rsidTr="00183898">
        <w:trPr>
          <w:trHeight w:val="255"/>
        </w:trPr>
        <w:tc>
          <w:tcPr>
            <w:tcW w:w="4693" w:type="dxa"/>
            <w:shd w:val="clear" w:color="auto" w:fill="auto"/>
            <w:noWrap/>
            <w:vAlign w:val="bottom"/>
          </w:tcPr>
          <w:p w:rsidR="00892CC5" w:rsidRPr="00AC5579" w:rsidRDefault="00892CC5" w:rsidP="00892CC5">
            <w:pPr>
              <w:ind w:left="229"/>
              <w:jc w:val="left"/>
              <w:rPr>
                <w:rFonts w:cs="Calibri"/>
                <w:sz w:val="20"/>
                <w:szCs w:val="20"/>
              </w:rPr>
            </w:pPr>
            <w:r w:rsidRPr="00AC5579">
              <w:rPr>
                <w:rFonts w:cs="Calibri"/>
                <w:sz w:val="20"/>
                <w:szCs w:val="20"/>
              </w:rPr>
              <w:t>Datafordeler services</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2.000.000</w:t>
            </w:r>
          </w:p>
        </w:tc>
        <w:tc>
          <w:tcPr>
            <w:tcW w:w="1639" w:type="dxa"/>
            <w:shd w:val="clear" w:color="auto" w:fill="auto"/>
            <w:noWrap/>
            <w:vAlign w:val="bottom"/>
          </w:tcPr>
          <w:p w:rsidR="00892CC5" w:rsidRPr="00AC5579" w:rsidRDefault="00892CC5">
            <w:pPr>
              <w:rPr>
                <w:rFonts w:cs="Calibri"/>
                <w:sz w:val="20"/>
                <w:szCs w:val="20"/>
              </w:rPr>
            </w:pPr>
            <w:r w:rsidRPr="00AC5579">
              <w:rPr>
                <w:rFonts w:cs="Calibri"/>
                <w:sz w:val="20"/>
                <w:szCs w:val="20"/>
              </w:rPr>
              <w:t> </w:t>
            </w:r>
          </w:p>
        </w:tc>
      </w:tr>
      <w:tr w:rsidR="00892CC5" w:rsidRPr="00AC5579" w:rsidTr="0013267C">
        <w:trPr>
          <w:trHeight w:val="255"/>
        </w:trPr>
        <w:tc>
          <w:tcPr>
            <w:tcW w:w="4693" w:type="dxa"/>
            <w:shd w:val="clear" w:color="auto" w:fill="auto"/>
            <w:noWrap/>
            <w:vAlign w:val="bottom"/>
          </w:tcPr>
          <w:p w:rsidR="00892CC5" w:rsidRPr="00AC5579" w:rsidRDefault="00892CC5" w:rsidP="00183898">
            <w:pPr>
              <w:jc w:val="left"/>
              <w:rPr>
                <w:rFonts w:cs="Calibri"/>
                <w:b/>
                <w:bCs/>
                <w:iCs/>
                <w:sz w:val="20"/>
                <w:szCs w:val="20"/>
              </w:rPr>
            </w:pPr>
            <w:r w:rsidRPr="00AC5579">
              <w:rPr>
                <w:rFonts w:cs="Calibri"/>
                <w:b/>
                <w:bCs/>
                <w:iCs/>
                <w:sz w:val="20"/>
                <w:szCs w:val="20"/>
              </w:rPr>
              <w:t>Kravspecifikation og udvikling i alt:</w:t>
            </w:r>
          </w:p>
        </w:tc>
        <w:tc>
          <w:tcPr>
            <w:tcW w:w="1701" w:type="dxa"/>
            <w:shd w:val="clear" w:color="auto" w:fill="auto"/>
            <w:noWrap/>
            <w:vAlign w:val="bottom"/>
          </w:tcPr>
          <w:p w:rsidR="00892CC5" w:rsidRPr="00AC5579" w:rsidRDefault="00892CC5">
            <w:pPr>
              <w:jc w:val="right"/>
              <w:rPr>
                <w:rFonts w:cs="Calibri"/>
                <w:b/>
                <w:sz w:val="20"/>
                <w:szCs w:val="20"/>
              </w:rPr>
            </w:pPr>
            <w:r w:rsidRPr="00AC5579">
              <w:rPr>
                <w:rFonts w:cs="Calibri"/>
                <w:b/>
                <w:sz w:val="20"/>
                <w:szCs w:val="20"/>
              </w:rPr>
              <w:t>11.448.850</w:t>
            </w:r>
          </w:p>
        </w:tc>
        <w:tc>
          <w:tcPr>
            <w:tcW w:w="1639" w:type="dxa"/>
            <w:shd w:val="clear" w:color="auto" w:fill="auto"/>
            <w:noWrap/>
            <w:vAlign w:val="bottom"/>
          </w:tcPr>
          <w:p w:rsidR="00892CC5" w:rsidRPr="00AC5579" w:rsidRDefault="00892CC5">
            <w:pPr>
              <w:jc w:val="right"/>
              <w:rPr>
                <w:rFonts w:cs="Calibri"/>
                <w:b/>
                <w:sz w:val="20"/>
                <w:szCs w:val="20"/>
              </w:rPr>
            </w:pPr>
            <w:r w:rsidRPr="00AC5579">
              <w:rPr>
                <w:rFonts w:cs="Calibri"/>
                <w:b/>
                <w:sz w:val="20"/>
                <w:szCs w:val="20"/>
              </w:rPr>
              <w:t>2.049.713</w:t>
            </w:r>
          </w:p>
        </w:tc>
      </w:tr>
      <w:tr w:rsidR="00892CC5" w:rsidRPr="00AC5579" w:rsidTr="0013267C">
        <w:trPr>
          <w:trHeight w:val="255"/>
        </w:trPr>
        <w:tc>
          <w:tcPr>
            <w:tcW w:w="4693" w:type="dxa"/>
            <w:shd w:val="clear" w:color="auto" w:fill="auto"/>
            <w:noWrap/>
            <w:vAlign w:val="bottom"/>
          </w:tcPr>
          <w:p w:rsidR="00892CC5" w:rsidRPr="00AC5579" w:rsidRDefault="00892CC5" w:rsidP="00183898">
            <w:pPr>
              <w:jc w:val="left"/>
              <w:rPr>
                <w:rFonts w:cs="Calibri"/>
                <w:b/>
                <w:sz w:val="20"/>
                <w:szCs w:val="20"/>
              </w:rPr>
            </w:pPr>
            <w:r w:rsidRPr="00AC5579">
              <w:rPr>
                <w:rFonts w:cs="Calibri"/>
                <w:b/>
                <w:sz w:val="20"/>
                <w:szCs w:val="20"/>
              </w:rPr>
              <w:lastRenderedPageBreak/>
              <w:t>Datavask Tingbog</w:t>
            </w:r>
          </w:p>
        </w:tc>
        <w:tc>
          <w:tcPr>
            <w:tcW w:w="1701" w:type="dxa"/>
            <w:shd w:val="clear" w:color="auto" w:fill="auto"/>
            <w:noWrap/>
            <w:vAlign w:val="bottom"/>
          </w:tcPr>
          <w:p w:rsidR="00892CC5" w:rsidRPr="00AC5579" w:rsidRDefault="00892CC5" w:rsidP="00183898">
            <w:pPr>
              <w:jc w:val="right"/>
              <w:rPr>
                <w:rFonts w:cs="Calibri"/>
                <w:b/>
                <w:sz w:val="20"/>
                <w:szCs w:val="20"/>
              </w:rPr>
            </w:pPr>
            <w:r w:rsidRPr="00AC5579">
              <w:rPr>
                <w:rFonts w:cs="Calibri"/>
                <w:b/>
                <w:sz w:val="20"/>
                <w:szCs w:val="20"/>
              </w:rPr>
              <w:t>500.000</w:t>
            </w:r>
          </w:p>
        </w:tc>
        <w:tc>
          <w:tcPr>
            <w:tcW w:w="1639" w:type="dxa"/>
            <w:shd w:val="clear" w:color="auto" w:fill="auto"/>
            <w:noWrap/>
            <w:vAlign w:val="bottom"/>
          </w:tcPr>
          <w:p w:rsidR="00892CC5" w:rsidRPr="00AC5579" w:rsidRDefault="00892CC5" w:rsidP="00183898">
            <w:pPr>
              <w:jc w:val="left"/>
              <w:rPr>
                <w:rFonts w:cs="Calibri"/>
                <w:b/>
                <w:sz w:val="20"/>
                <w:szCs w:val="20"/>
              </w:rPr>
            </w:pPr>
            <w:r w:rsidRPr="00AC5579">
              <w:rPr>
                <w:rFonts w:cs="Calibri"/>
                <w:b/>
                <w:sz w:val="20"/>
                <w:szCs w:val="20"/>
              </w:rPr>
              <w:t> </w:t>
            </w:r>
          </w:p>
        </w:tc>
      </w:tr>
      <w:tr w:rsidR="00892CC5" w:rsidRPr="00AC5579" w:rsidTr="00183898">
        <w:trPr>
          <w:trHeight w:val="255"/>
        </w:trPr>
        <w:tc>
          <w:tcPr>
            <w:tcW w:w="4693" w:type="dxa"/>
            <w:shd w:val="clear" w:color="auto" w:fill="auto"/>
            <w:noWrap/>
            <w:vAlign w:val="bottom"/>
          </w:tcPr>
          <w:p w:rsidR="00892CC5" w:rsidRPr="00AC5579" w:rsidRDefault="00892CC5" w:rsidP="00183898">
            <w:pPr>
              <w:ind w:left="229"/>
              <w:jc w:val="left"/>
              <w:rPr>
                <w:rFonts w:cs="Calibri"/>
                <w:sz w:val="20"/>
                <w:szCs w:val="20"/>
              </w:rPr>
            </w:pPr>
            <w:r w:rsidRPr="00AC5579">
              <w:rPr>
                <w:rFonts w:cs="Calibri"/>
                <w:sz w:val="20"/>
                <w:szCs w:val="20"/>
              </w:rPr>
              <w:t>Projektledelse</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944.885</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236.221</w:t>
            </w:r>
          </w:p>
        </w:tc>
      </w:tr>
      <w:tr w:rsidR="00892CC5" w:rsidRPr="00AC5579" w:rsidTr="00183898">
        <w:trPr>
          <w:trHeight w:val="255"/>
        </w:trPr>
        <w:tc>
          <w:tcPr>
            <w:tcW w:w="4693" w:type="dxa"/>
            <w:shd w:val="clear" w:color="auto" w:fill="auto"/>
            <w:noWrap/>
            <w:vAlign w:val="bottom"/>
          </w:tcPr>
          <w:p w:rsidR="00892CC5" w:rsidRPr="00AC5579" w:rsidRDefault="00892CC5" w:rsidP="00183898">
            <w:pPr>
              <w:ind w:left="229"/>
              <w:jc w:val="left"/>
              <w:rPr>
                <w:rFonts w:cs="Calibri"/>
                <w:sz w:val="20"/>
                <w:szCs w:val="20"/>
              </w:rPr>
            </w:pPr>
            <w:r w:rsidRPr="00AC5579">
              <w:rPr>
                <w:rFonts w:cs="Calibri"/>
                <w:sz w:val="20"/>
                <w:szCs w:val="20"/>
              </w:rPr>
              <w:t>Udbud</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0</w:t>
            </w:r>
          </w:p>
        </w:tc>
        <w:tc>
          <w:tcPr>
            <w:tcW w:w="1639" w:type="dxa"/>
            <w:shd w:val="clear" w:color="auto" w:fill="auto"/>
            <w:noWrap/>
            <w:vAlign w:val="bottom"/>
          </w:tcPr>
          <w:p w:rsidR="00892CC5" w:rsidRPr="00AC5579" w:rsidRDefault="00892CC5">
            <w:pPr>
              <w:rPr>
                <w:rFonts w:cs="Calibri"/>
                <w:sz w:val="20"/>
                <w:szCs w:val="20"/>
              </w:rPr>
            </w:pPr>
            <w:r w:rsidRPr="00AC5579">
              <w:rPr>
                <w:rFonts w:cs="Calibri"/>
                <w:sz w:val="20"/>
                <w:szCs w:val="20"/>
              </w:rPr>
              <w:t> </w:t>
            </w:r>
          </w:p>
        </w:tc>
      </w:tr>
      <w:tr w:rsidR="00892CC5" w:rsidRPr="00AC5579" w:rsidTr="00183898">
        <w:trPr>
          <w:trHeight w:val="255"/>
        </w:trPr>
        <w:tc>
          <w:tcPr>
            <w:tcW w:w="4693" w:type="dxa"/>
            <w:shd w:val="clear" w:color="auto" w:fill="auto"/>
            <w:noWrap/>
            <w:vAlign w:val="bottom"/>
          </w:tcPr>
          <w:p w:rsidR="00892CC5" w:rsidRPr="00AC5579" w:rsidRDefault="00892CC5" w:rsidP="00183898">
            <w:pPr>
              <w:ind w:left="229"/>
              <w:jc w:val="left"/>
              <w:rPr>
                <w:rFonts w:cs="Calibri"/>
                <w:sz w:val="20"/>
                <w:szCs w:val="20"/>
              </w:rPr>
            </w:pPr>
            <w:r w:rsidRPr="00AC5579">
              <w:rPr>
                <w:rFonts w:cs="Calibri"/>
                <w:sz w:val="20"/>
                <w:szCs w:val="20"/>
              </w:rPr>
              <w:t>Interessenthåndtering</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200.000</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30.000</w:t>
            </w:r>
          </w:p>
        </w:tc>
      </w:tr>
      <w:tr w:rsidR="00892CC5" w:rsidRPr="00AC5579" w:rsidTr="00183898">
        <w:trPr>
          <w:trHeight w:val="255"/>
        </w:trPr>
        <w:tc>
          <w:tcPr>
            <w:tcW w:w="4693" w:type="dxa"/>
            <w:shd w:val="clear" w:color="auto" w:fill="auto"/>
            <w:noWrap/>
            <w:vAlign w:val="bottom"/>
          </w:tcPr>
          <w:p w:rsidR="00892CC5" w:rsidRPr="00AC5579" w:rsidRDefault="00892CC5" w:rsidP="00183898">
            <w:pPr>
              <w:ind w:left="229"/>
              <w:jc w:val="left"/>
              <w:rPr>
                <w:rFonts w:cs="Calibri"/>
                <w:sz w:val="20"/>
                <w:szCs w:val="20"/>
              </w:rPr>
            </w:pPr>
            <w:r w:rsidRPr="00AC5579">
              <w:rPr>
                <w:rFonts w:cs="Calibri"/>
                <w:sz w:val="20"/>
                <w:szCs w:val="20"/>
              </w:rPr>
              <w:t>Integrationstest</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894.885</w:t>
            </w:r>
          </w:p>
        </w:tc>
        <w:tc>
          <w:tcPr>
            <w:tcW w:w="1639"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134.233</w:t>
            </w:r>
          </w:p>
        </w:tc>
      </w:tr>
      <w:tr w:rsidR="00892CC5" w:rsidRPr="00AC5579" w:rsidTr="00183898">
        <w:trPr>
          <w:trHeight w:val="255"/>
        </w:trPr>
        <w:tc>
          <w:tcPr>
            <w:tcW w:w="4693" w:type="dxa"/>
            <w:shd w:val="clear" w:color="auto" w:fill="auto"/>
            <w:noWrap/>
            <w:vAlign w:val="bottom"/>
          </w:tcPr>
          <w:p w:rsidR="00892CC5" w:rsidRPr="00AC5579" w:rsidRDefault="00892CC5" w:rsidP="00183898">
            <w:pPr>
              <w:ind w:left="229"/>
              <w:jc w:val="left"/>
              <w:rPr>
                <w:rFonts w:cs="Calibri"/>
                <w:sz w:val="20"/>
                <w:szCs w:val="20"/>
              </w:rPr>
            </w:pPr>
            <w:r w:rsidRPr="00AC5579">
              <w:rPr>
                <w:rFonts w:cs="Calibri"/>
                <w:sz w:val="20"/>
                <w:szCs w:val="20"/>
              </w:rPr>
              <w:t>Udrulning (inkl. uddannelse)</w:t>
            </w:r>
          </w:p>
        </w:tc>
        <w:tc>
          <w:tcPr>
            <w:tcW w:w="1701" w:type="dxa"/>
            <w:shd w:val="clear" w:color="auto" w:fill="auto"/>
            <w:noWrap/>
            <w:vAlign w:val="bottom"/>
          </w:tcPr>
          <w:p w:rsidR="00892CC5" w:rsidRPr="00AC5579" w:rsidRDefault="00892CC5">
            <w:pPr>
              <w:jc w:val="right"/>
              <w:rPr>
                <w:rFonts w:cs="Calibri"/>
                <w:sz w:val="20"/>
                <w:szCs w:val="20"/>
              </w:rPr>
            </w:pPr>
            <w:r w:rsidRPr="00AC5579">
              <w:rPr>
                <w:rFonts w:cs="Calibri"/>
                <w:sz w:val="20"/>
                <w:szCs w:val="20"/>
              </w:rPr>
              <w:t>447.443</w:t>
            </w:r>
          </w:p>
        </w:tc>
        <w:tc>
          <w:tcPr>
            <w:tcW w:w="1639" w:type="dxa"/>
            <w:shd w:val="clear" w:color="auto" w:fill="auto"/>
            <w:noWrap/>
            <w:vAlign w:val="bottom"/>
          </w:tcPr>
          <w:p w:rsidR="00892CC5" w:rsidRPr="00AC5579" w:rsidRDefault="00892CC5">
            <w:pPr>
              <w:rPr>
                <w:rFonts w:cs="Calibri"/>
                <w:sz w:val="20"/>
                <w:szCs w:val="20"/>
              </w:rPr>
            </w:pPr>
            <w:r w:rsidRPr="00AC5579">
              <w:rPr>
                <w:rFonts w:cs="Calibri"/>
                <w:sz w:val="20"/>
                <w:szCs w:val="20"/>
              </w:rPr>
              <w:t> </w:t>
            </w:r>
          </w:p>
        </w:tc>
      </w:tr>
      <w:tr w:rsidR="00892CC5" w:rsidRPr="00AC5579" w:rsidTr="00183898">
        <w:trPr>
          <w:trHeight w:val="255"/>
        </w:trPr>
        <w:tc>
          <w:tcPr>
            <w:tcW w:w="4693" w:type="dxa"/>
            <w:shd w:val="clear" w:color="auto" w:fill="auto"/>
            <w:noWrap/>
            <w:vAlign w:val="bottom"/>
          </w:tcPr>
          <w:p w:rsidR="00892CC5" w:rsidRPr="00AC5579" w:rsidRDefault="00892CC5" w:rsidP="00183898">
            <w:pPr>
              <w:ind w:left="229"/>
              <w:jc w:val="left"/>
              <w:rPr>
                <w:rFonts w:cs="Calibri"/>
                <w:sz w:val="20"/>
                <w:szCs w:val="20"/>
              </w:rPr>
            </w:pPr>
            <w:r w:rsidRPr="00AC5579">
              <w:rPr>
                <w:rFonts w:cs="Calibri"/>
                <w:sz w:val="20"/>
                <w:szCs w:val="20"/>
              </w:rPr>
              <w:t>Udfasning af bestående systemer</w:t>
            </w:r>
          </w:p>
        </w:tc>
        <w:tc>
          <w:tcPr>
            <w:tcW w:w="1701" w:type="dxa"/>
            <w:shd w:val="clear" w:color="auto" w:fill="auto"/>
            <w:noWrap/>
            <w:vAlign w:val="bottom"/>
          </w:tcPr>
          <w:p w:rsidR="00892CC5" w:rsidRPr="00AC5579" w:rsidRDefault="00892CC5" w:rsidP="00892CC5">
            <w:pPr>
              <w:jc w:val="right"/>
              <w:rPr>
                <w:rFonts w:cs="Calibri"/>
                <w:sz w:val="20"/>
                <w:szCs w:val="20"/>
              </w:rPr>
            </w:pPr>
            <w:r w:rsidRPr="00AC5579">
              <w:rPr>
                <w:rFonts w:cs="Calibri"/>
                <w:sz w:val="20"/>
                <w:szCs w:val="20"/>
              </w:rPr>
              <w:t> </w:t>
            </w:r>
          </w:p>
        </w:tc>
        <w:tc>
          <w:tcPr>
            <w:tcW w:w="1639" w:type="dxa"/>
            <w:shd w:val="clear" w:color="auto" w:fill="auto"/>
            <w:noWrap/>
            <w:vAlign w:val="bottom"/>
          </w:tcPr>
          <w:p w:rsidR="00892CC5" w:rsidRPr="00AC5579" w:rsidRDefault="00892CC5" w:rsidP="00892CC5">
            <w:pPr>
              <w:jc w:val="right"/>
              <w:rPr>
                <w:rFonts w:cs="Calibri"/>
                <w:sz w:val="20"/>
                <w:szCs w:val="20"/>
              </w:rPr>
            </w:pPr>
            <w:r w:rsidRPr="00AC5579">
              <w:rPr>
                <w:rFonts w:cs="Calibri"/>
                <w:sz w:val="20"/>
                <w:szCs w:val="20"/>
              </w:rPr>
              <w:t>0</w:t>
            </w:r>
          </w:p>
        </w:tc>
      </w:tr>
      <w:tr w:rsidR="00892CC5" w:rsidRPr="00AC5579" w:rsidTr="0013267C">
        <w:trPr>
          <w:trHeight w:val="270"/>
        </w:trPr>
        <w:tc>
          <w:tcPr>
            <w:tcW w:w="4693" w:type="dxa"/>
            <w:shd w:val="clear" w:color="auto" w:fill="auto"/>
            <w:noWrap/>
            <w:vAlign w:val="bottom"/>
          </w:tcPr>
          <w:p w:rsidR="00892CC5" w:rsidRPr="00AC5579" w:rsidRDefault="00892CC5" w:rsidP="00183898">
            <w:pPr>
              <w:jc w:val="left"/>
              <w:rPr>
                <w:rFonts w:cs="Calibri"/>
                <w:b/>
                <w:bCs/>
                <w:iCs/>
                <w:sz w:val="20"/>
                <w:szCs w:val="20"/>
              </w:rPr>
            </w:pPr>
            <w:r w:rsidRPr="00AC5579">
              <w:rPr>
                <w:rFonts w:cs="Calibri"/>
                <w:b/>
                <w:bCs/>
                <w:iCs/>
                <w:sz w:val="20"/>
                <w:szCs w:val="20"/>
              </w:rPr>
              <w:t xml:space="preserve">Projektomkostninger (ekstern) i alt </w:t>
            </w:r>
          </w:p>
        </w:tc>
        <w:tc>
          <w:tcPr>
            <w:tcW w:w="1701" w:type="dxa"/>
            <w:shd w:val="clear" w:color="auto" w:fill="auto"/>
            <w:noWrap/>
            <w:vAlign w:val="bottom"/>
          </w:tcPr>
          <w:p w:rsidR="00892CC5" w:rsidRPr="00AC5579" w:rsidRDefault="00892CC5">
            <w:pPr>
              <w:jc w:val="right"/>
              <w:rPr>
                <w:rFonts w:cs="Calibri"/>
                <w:b/>
                <w:sz w:val="20"/>
                <w:szCs w:val="20"/>
              </w:rPr>
            </w:pPr>
            <w:r w:rsidRPr="00AC5579">
              <w:rPr>
                <w:rFonts w:cs="Calibri"/>
                <w:b/>
                <w:sz w:val="20"/>
                <w:szCs w:val="20"/>
              </w:rPr>
              <w:t>2487212,5</w:t>
            </w:r>
          </w:p>
        </w:tc>
        <w:tc>
          <w:tcPr>
            <w:tcW w:w="1639" w:type="dxa"/>
            <w:shd w:val="clear" w:color="auto" w:fill="auto"/>
            <w:noWrap/>
            <w:vAlign w:val="bottom"/>
          </w:tcPr>
          <w:p w:rsidR="00892CC5" w:rsidRPr="00AC5579" w:rsidRDefault="00892CC5">
            <w:pPr>
              <w:jc w:val="right"/>
              <w:rPr>
                <w:rFonts w:cs="Calibri"/>
                <w:b/>
                <w:sz w:val="20"/>
                <w:szCs w:val="20"/>
              </w:rPr>
            </w:pPr>
            <w:r w:rsidRPr="00AC5579">
              <w:rPr>
                <w:rFonts w:cs="Calibri"/>
                <w:b/>
                <w:sz w:val="20"/>
                <w:szCs w:val="20"/>
              </w:rPr>
              <w:t>400.454</w:t>
            </w:r>
          </w:p>
        </w:tc>
      </w:tr>
      <w:tr w:rsidR="00892CC5" w:rsidRPr="00AC5579" w:rsidTr="00892CC5">
        <w:trPr>
          <w:trHeight w:val="270"/>
        </w:trPr>
        <w:tc>
          <w:tcPr>
            <w:tcW w:w="4693" w:type="dxa"/>
            <w:shd w:val="clear" w:color="auto" w:fill="C6D9F1"/>
            <w:noWrap/>
            <w:vAlign w:val="bottom"/>
          </w:tcPr>
          <w:p w:rsidR="00892CC5" w:rsidRPr="00AC5579" w:rsidRDefault="00183898" w:rsidP="00183898">
            <w:pPr>
              <w:jc w:val="left"/>
              <w:rPr>
                <w:rFonts w:cs="Calibri"/>
                <w:b/>
                <w:sz w:val="20"/>
                <w:szCs w:val="20"/>
              </w:rPr>
            </w:pPr>
            <w:r w:rsidRPr="00AC5579">
              <w:rPr>
                <w:rFonts w:cs="Calibri"/>
                <w:b/>
                <w:sz w:val="20"/>
                <w:szCs w:val="20"/>
              </w:rPr>
              <w:t>Domstolsstyrelsen</w:t>
            </w:r>
            <w:r w:rsidR="00892CC5" w:rsidRPr="00AC5579">
              <w:rPr>
                <w:rFonts w:cs="Calibri"/>
                <w:b/>
                <w:sz w:val="20"/>
                <w:szCs w:val="20"/>
              </w:rPr>
              <w:t xml:space="preserve"> i alt</w:t>
            </w:r>
          </w:p>
        </w:tc>
        <w:tc>
          <w:tcPr>
            <w:tcW w:w="1701" w:type="dxa"/>
            <w:shd w:val="clear" w:color="auto" w:fill="C6D9F1"/>
            <w:noWrap/>
            <w:vAlign w:val="bottom"/>
          </w:tcPr>
          <w:p w:rsidR="00892CC5" w:rsidRPr="00AC5579" w:rsidRDefault="00892CC5">
            <w:pPr>
              <w:jc w:val="right"/>
              <w:rPr>
                <w:rFonts w:cs="Calibri"/>
                <w:b/>
                <w:sz w:val="20"/>
                <w:szCs w:val="20"/>
              </w:rPr>
            </w:pPr>
            <w:r w:rsidRPr="00AC5579">
              <w:rPr>
                <w:rFonts w:cs="Calibri"/>
                <w:b/>
                <w:sz w:val="20"/>
                <w:szCs w:val="20"/>
              </w:rPr>
              <w:t>14.436.063</w:t>
            </w:r>
          </w:p>
        </w:tc>
        <w:tc>
          <w:tcPr>
            <w:tcW w:w="1639" w:type="dxa"/>
            <w:shd w:val="clear" w:color="auto" w:fill="C6D9F1"/>
            <w:noWrap/>
            <w:vAlign w:val="bottom"/>
          </w:tcPr>
          <w:p w:rsidR="00892CC5" w:rsidRPr="00AC5579" w:rsidRDefault="00892CC5" w:rsidP="002D2A99">
            <w:pPr>
              <w:keepNext/>
              <w:jc w:val="right"/>
              <w:rPr>
                <w:rFonts w:cs="Calibri"/>
                <w:b/>
                <w:sz w:val="20"/>
                <w:szCs w:val="20"/>
              </w:rPr>
            </w:pPr>
            <w:r w:rsidRPr="00AC5579">
              <w:rPr>
                <w:rFonts w:cs="Calibri"/>
                <w:b/>
                <w:sz w:val="20"/>
                <w:szCs w:val="20"/>
              </w:rPr>
              <w:t>2.450.167</w:t>
            </w:r>
          </w:p>
        </w:tc>
      </w:tr>
    </w:tbl>
    <w:p w:rsidR="00ED78E9" w:rsidRPr="00AC5579" w:rsidRDefault="002D2A99" w:rsidP="002D2A99">
      <w:pPr>
        <w:pStyle w:val="Billedtekst"/>
      </w:pPr>
      <w:r w:rsidRPr="00AC5579">
        <w:t xml:space="preserve">Tabel </w:t>
      </w:r>
      <w:r w:rsidR="004B01EA">
        <w:fldChar w:fldCharType="begin"/>
      </w:r>
      <w:r w:rsidR="004B01EA">
        <w:instrText xml:space="preserve"> SEQ Tabel \* ARABIC </w:instrText>
      </w:r>
      <w:r w:rsidR="004B01EA">
        <w:fldChar w:fldCharType="separate"/>
      </w:r>
      <w:r w:rsidR="00B53FEA">
        <w:rPr>
          <w:noProof/>
        </w:rPr>
        <w:t>9</w:t>
      </w:r>
      <w:r w:rsidR="004B01EA">
        <w:rPr>
          <w:noProof/>
        </w:rPr>
        <w:fldChar w:fldCharType="end"/>
      </w:r>
      <w:r w:rsidRPr="00AC5579">
        <w:t>: Estimerede etablerings- og driftsomkostning for udvidelse af Tingbogen i kr.</w:t>
      </w:r>
    </w:p>
    <w:sectPr w:rsidR="00ED78E9" w:rsidRPr="00AC5579" w:rsidSect="007B040A">
      <w:headerReference w:type="default" r:id="rId12"/>
      <w:footerReference w:type="default" r:id="rId13"/>
      <w:headerReference w:type="first" r:id="rId14"/>
      <w:footerReference w:type="first" r:id="rId15"/>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EA" w:rsidRDefault="004B01EA">
      <w:pPr>
        <w:pStyle w:val="Overskrift1"/>
      </w:pPr>
      <w:r>
        <w:t>References.</w:t>
      </w:r>
    </w:p>
  </w:endnote>
  <w:endnote w:type="continuationSeparator" w:id="0">
    <w:p w:rsidR="004B01EA" w:rsidRDefault="004B01EA">
      <w:r>
        <w:continuationSeparator/>
      </w:r>
    </w:p>
  </w:endnote>
  <w:endnote w:type="continuationNotice" w:id="1">
    <w:p w:rsidR="004B01EA" w:rsidRDefault="004B0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9D" w:rsidRDefault="007C229D"/>
  <w:p w:rsidR="007C229D" w:rsidRDefault="007C229D"/>
  <w:tbl>
    <w:tblPr>
      <w:tblW w:w="8755" w:type="dxa"/>
      <w:tblLook w:val="01E0" w:firstRow="1" w:lastRow="1" w:firstColumn="1" w:lastColumn="1" w:noHBand="0" w:noVBand="0"/>
    </w:tblPr>
    <w:tblGrid>
      <w:gridCol w:w="2881"/>
      <w:gridCol w:w="2882"/>
      <w:gridCol w:w="2992"/>
    </w:tblGrid>
    <w:tr w:rsidR="007C229D" w:rsidTr="00022208">
      <w:tc>
        <w:tcPr>
          <w:tcW w:w="2881" w:type="dxa"/>
          <w:shd w:val="clear" w:color="auto" w:fill="auto"/>
        </w:tcPr>
        <w:p w:rsidR="007C229D" w:rsidRDefault="007C229D" w:rsidP="00022208">
          <w:pPr>
            <w:pStyle w:val="Sidehoved"/>
            <w:jc w:val="right"/>
          </w:pPr>
        </w:p>
      </w:tc>
      <w:tc>
        <w:tcPr>
          <w:tcW w:w="2882" w:type="dxa"/>
          <w:shd w:val="clear" w:color="auto" w:fill="auto"/>
        </w:tcPr>
        <w:p w:rsidR="007C229D" w:rsidRDefault="007C229D"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5F4924">
            <w:rPr>
              <w:rStyle w:val="Sidetal"/>
              <w:noProof/>
            </w:rPr>
            <w:t>21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5F4924">
            <w:rPr>
              <w:rStyle w:val="Sidetal"/>
              <w:noProof/>
            </w:rPr>
            <w:t>38</w:t>
          </w:r>
          <w:r>
            <w:rPr>
              <w:rStyle w:val="Sidetal"/>
            </w:rPr>
            <w:fldChar w:fldCharType="end"/>
          </w:r>
          <w:bookmarkStart w:id="132" w:name="_Toc55190626"/>
          <w:r>
            <w:rPr>
              <w:rStyle w:val="Sidetal"/>
            </w:rPr>
            <w:t xml:space="preserve"> -</w:t>
          </w:r>
        </w:p>
      </w:tc>
      <w:tc>
        <w:tcPr>
          <w:tcW w:w="2992" w:type="dxa"/>
          <w:shd w:val="clear" w:color="auto" w:fill="auto"/>
        </w:tcPr>
        <w:p w:rsidR="007C229D" w:rsidRPr="004E5375" w:rsidRDefault="007C229D"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2012-271</w:t>
          </w:r>
        </w:p>
      </w:tc>
    </w:tr>
  </w:tbl>
  <w:p w:rsidR="007C229D" w:rsidRDefault="007C229D" w:rsidP="004E5375">
    <w:pPr>
      <w:pStyle w:val="Sidehoved"/>
      <w:jc w:val="right"/>
    </w:pPr>
  </w:p>
  <w:p w:rsidR="007C229D" w:rsidRDefault="007C229D">
    <w:pPr>
      <w:pStyle w:val="Sidefod"/>
      <w:jc w:val="center"/>
    </w:pPr>
  </w:p>
  <w:bookmarkEnd w:id="132"/>
  <w:p w:rsidR="007C229D" w:rsidRDefault="007C229D">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666"/>
      <w:gridCol w:w="731"/>
    </w:tblGrid>
    <w:tr w:rsidR="007C229D" w:rsidRPr="00022208" w:rsidTr="00954C24">
      <w:tc>
        <w:tcPr>
          <w:tcW w:w="7797" w:type="dxa"/>
          <w:shd w:val="clear" w:color="auto" w:fill="auto"/>
        </w:tcPr>
        <w:p w:rsidR="007C229D" w:rsidRPr="00877C63" w:rsidRDefault="007C229D" w:rsidP="00786F5A">
          <w:pPr>
            <w:pStyle w:val="Sidefod"/>
          </w:pPr>
        </w:p>
      </w:tc>
      <w:tc>
        <w:tcPr>
          <w:tcW w:w="740" w:type="dxa"/>
          <w:shd w:val="clear" w:color="auto" w:fill="auto"/>
        </w:tcPr>
        <w:p w:rsidR="007C229D" w:rsidRPr="00022208" w:rsidRDefault="007C229D" w:rsidP="00022208">
          <w:pPr>
            <w:pStyle w:val="Sidehoved"/>
            <w:jc w:val="right"/>
            <w:rPr>
              <w:smallCaps/>
              <w:sz w:val="16"/>
              <w:szCs w:val="16"/>
            </w:rPr>
          </w:pPr>
        </w:p>
      </w:tc>
    </w:tr>
  </w:tbl>
  <w:p w:rsidR="007C229D" w:rsidRPr="00C251C5" w:rsidRDefault="007C229D">
    <w:pPr>
      <w:pStyle w:val="Sidefod"/>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EA" w:rsidRDefault="004B01EA">
      <w:r>
        <w:separator/>
      </w:r>
    </w:p>
  </w:footnote>
  <w:footnote w:type="continuationSeparator" w:id="0">
    <w:p w:rsidR="004B01EA" w:rsidRDefault="004B01EA">
      <w:r>
        <w:continuationSeparator/>
      </w:r>
    </w:p>
  </w:footnote>
  <w:footnote w:type="continuationNotice" w:id="1">
    <w:p w:rsidR="004B01EA" w:rsidRDefault="004B01EA"/>
  </w:footnote>
  <w:footnote w:id="2">
    <w:p w:rsidR="007C229D" w:rsidRPr="00D669DC" w:rsidRDefault="007C229D">
      <w:pPr>
        <w:pStyle w:val="Fodnotetekst"/>
        <w:rPr>
          <w:lang w:val="da-DK"/>
        </w:rPr>
      </w:pPr>
      <w:r>
        <w:rPr>
          <w:rStyle w:val="Fodnotehenvisning"/>
        </w:rPr>
        <w:footnoteRef/>
      </w:r>
      <w:r>
        <w:t xml:space="preserve"> </w:t>
      </w:r>
      <w:r>
        <w:rPr>
          <w:lang w:val="da-DK"/>
        </w:rPr>
        <w:t>Det præciseres at vurderingsregistret ikke defineres som grunddata</w:t>
      </w:r>
    </w:p>
  </w:footnote>
  <w:footnote w:id="3">
    <w:p w:rsidR="007C229D" w:rsidRPr="00F5346A" w:rsidRDefault="007C229D">
      <w:pPr>
        <w:pStyle w:val="Fodnotetekst"/>
        <w:rPr>
          <w:lang w:val="da-DK"/>
        </w:rPr>
      </w:pPr>
      <w:r>
        <w:rPr>
          <w:rStyle w:val="Fodnotehenvisning"/>
        </w:rPr>
        <w:footnoteRef/>
      </w:r>
      <w:r>
        <w:t xml:space="preserve"> Der pågår et udvalgsarbejde </w:t>
      </w:r>
      <w:r w:rsidRPr="007A3DD9">
        <w:t>omkring den fremtidige varetagelse af skiftesagsbehandlingen i regi</w:t>
      </w:r>
      <w:r>
        <w:t xml:space="preserve"> af Justitsministeriet. Løsningen for GD1 skal findes i relation til resultatet af dette arbejde.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9D" w:rsidRDefault="007C229D" w:rsidP="002E781B">
    <w:pPr>
      <w:pStyle w:val="Sidehoved"/>
      <w:rPr>
        <w:sz w:val="16"/>
      </w:rPr>
    </w:pPr>
    <w:r w:rsidRPr="006171CF">
      <w:rPr>
        <w:sz w:val="16"/>
      </w:rPr>
      <w:fldChar w:fldCharType="begin"/>
    </w:r>
    <w:r w:rsidRPr="006171CF">
      <w:rPr>
        <w:sz w:val="16"/>
      </w:rPr>
      <w:instrText xml:space="preserve"> SUBJECT   \* MERGEFORMAT </w:instrText>
    </w:r>
    <w:r w:rsidRPr="006171CF">
      <w:rPr>
        <w:sz w:val="16"/>
      </w:rPr>
      <w:fldChar w:fldCharType="separate"/>
    </w:r>
    <w:r>
      <w:rPr>
        <w:sz w:val="16"/>
      </w:rPr>
      <w:t>Effektiv ejendomsforvaltning og genbrug af ejendomsdata</w:t>
    </w:r>
    <w:r w:rsidRPr="006171CF">
      <w:rPr>
        <w:sz w:val="16"/>
      </w:rPr>
      <w:fldChar w:fldCharType="end"/>
    </w:r>
  </w:p>
  <w:p w:rsidR="007C229D" w:rsidRDefault="007C229D" w:rsidP="002E781B">
    <w:pPr>
      <w:pStyle w:val="Sidehoved"/>
      <w:rPr>
        <w:sz w:val="16"/>
      </w:rPr>
    </w:pPr>
    <w:r>
      <w:rPr>
        <w:kern w:val="28"/>
        <w:sz w:val="16"/>
      </w:rPr>
      <w:fldChar w:fldCharType="begin"/>
    </w:r>
    <w:r>
      <w:rPr>
        <w:kern w:val="28"/>
        <w:sz w:val="16"/>
      </w:rPr>
      <w:instrText xml:space="preserve"> TITLE   \* MERGEFORMAT </w:instrText>
    </w:r>
    <w:r>
      <w:rPr>
        <w:kern w:val="28"/>
        <w:sz w:val="16"/>
      </w:rPr>
      <w:fldChar w:fldCharType="separate"/>
    </w:r>
    <w:r>
      <w:rPr>
        <w:kern w:val="28"/>
        <w:sz w:val="16"/>
      </w:rPr>
      <w:t>Programstyringsdokument</w:t>
    </w:r>
    <w:r>
      <w:rPr>
        <w:kern w:val="28"/>
        <w:sz w:val="16"/>
      </w:rPr>
      <w:fldChar w:fldCharType="end"/>
    </w:r>
  </w:p>
  <w:p w:rsidR="007C229D" w:rsidRPr="006171CF" w:rsidRDefault="007C229D" w:rsidP="002E781B">
    <w:pPr>
      <w:pStyle w:val="Sidehoved"/>
      <w:rPr>
        <w:sz w:val="16"/>
      </w:rPr>
    </w:pPr>
    <w:r w:rsidRPr="006171CF">
      <w:rPr>
        <w:sz w:val="16"/>
      </w:rPr>
      <w:t xml:space="preserve"> </w:t>
    </w:r>
  </w:p>
  <w:p w:rsidR="007C229D" w:rsidRDefault="007C229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9D" w:rsidRPr="001D4A86" w:rsidRDefault="009A7918" w:rsidP="00786F5A">
    <w:pPr>
      <w:pStyle w:val="Sidehoved"/>
      <w:tabs>
        <w:tab w:val="clear" w:pos="4819"/>
        <w:tab w:val="center" w:pos="4253"/>
      </w:tabs>
    </w:pPr>
    <w:r w:rsidRPr="00EA2F1F">
      <w:rPr>
        <w:noProof/>
      </w:rPr>
      <w:drawing>
        <wp:inline distT="0" distB="0" distL="0" distR="0" wp14:anchorId="7DC01445" wp14:editId="4CD6992C">
          <wp:extent cx="1265238" cy="827087"/>
          <wp:effectExtent l="0" t="0" r="0" b="0"/>
          <wp:docPr id="1033" name="Picture 9" descr="F:\By og Land\Ejendomsdata\Samordningssekretariatet\Grunddataprogrammet GD1 GD2\GD1 - Ejendomsdataprogrammet\Kommunikation\Logo G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F:\By og Land\Ejendomsdata\Samordningssekretariatet\Grunddataprogrammet GD1 GD2\GD1 - Ejendomsdataprogrammet\Kommunikation\Logo G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238" cy="827087"/>
                  </a:xfrm>
                  <a:prstGeom prst="rect">
                    <a:avLst/>
                  </a:prstGeom>
                  <a:noFill/>
                  <a:ln>
                    <a:noFill/>
                  </a:ln>
                  <a:extLst/>
                </pic:spPr>
              </pic:pic>
            </a:graphicData>
          </a:graphic>
        </wp:inline>
      </w:drawing>
    </w:r>
    <w:r w:rsidR="007C229D">
      <w:tab/>
    </w:r>
    <w:r w:rsidR="007C229D">
      <w:tab/>
    </w:r>
    <w:r w:rsidR="005F4924">
      <w:rPr>
        <w:noProof/>
      </w:rPr>
      <w:drawing>
        <wp:inline distT="0" distB="0" distL="0" distR="0" wp14:anchorId="5D926938">
          <wp:extent cx="2581275" cy="819150"/>
          <wp:effectExtent l="0" t="0" r="9525" b="0"/>
          <wp:docPr id="3"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15:restartNumberingAfterBreak="0">
    <w:nsid w:val="03406C53"/>
    <w:multiLevelType w:val="hybridMultilevel"/>
    <w:tmpl w:val="E8EEA4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F35BB3"/>
    <w:multiLevelType w:val="hybridMultilevel"/>
    <w:tmpl w:val="470615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0F7EBB"/>
    <w:multiLevelType w:val="hybridMultilevel"/>
    <w:tmpl w:val="EBAE2FB8"/>
    <w:lvl w:ilvl="0" w:tplc="08090001">
      <w:start w:val="1"/>
      <w:numFmt w:val="bullet"/>
      <w:lvlText w:val=""/>
      <w:lvlJc w:val="left"/>
      <w:pPr>
        <w:ind w:left="720" w:hanging="360"/>
      </w:pPr>
      <w:rPr>
        <w:rFonts w:ascii="Symbol" w:hAnsi="Symbol" w:hint="default"/>
      </w:rPr>
    </w:lvl>
    <w:lvl w:ilvl="1" w:tplc="04060003">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C20B7"/>
    <w:multiLevelType w:val="hybridMultilevel"/>
    <w:tmpl w:val="F74E0DC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8886A6A"/>
    <w:multiLevelType w:val="hybridMultilevel"/>
    <w:tmpl w:val="6E46FD7C"/>
    <w:lvl w:ilvl="0" w:tplc="04060001">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16BB3123"/>
    <w:multiLevelType w:val="hybridMultilevel"/>
    <w:tmpl w:val="931290B6"/>
    <w:lvl w:ilvl="0" w:tplc="50B48BD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8800C5B"/>
    <w:multiLevelType w:val="hybridMultilevel"/>
    <w:tmpl w:val="4C28F4C8"/>
    <w:lvl w:ilvl="0" w:tplc="43E8A89E">
      <w:start w:val="1"/>
      <w:numFmt w:val="bullet"/>
      <w:lvlText w:val="•"/>
      <w:lvlJc w:val="left"/>
      <w:pPr>
        <w:tabs>
          <w:tab w:val="num" w:pos="720"/>
        </w:tabs>
        <w:ind w:left="720" w:hanging="360"/>
      </w:pPr>
      <w:rPr>
        <w:rFonts w:ascii="Times New Roman" w:hAnsi="Times New Roman" w:hint="default"/>
      </w:rPr>
    </w:lvl>
    <w:lvl w:ilvl="1" w:tplc="33407D66">
      <w:start w:val="1083"/>
      <w:numFmt w:val="bullet"/>
      <w:lvlText w:val="•"/>
      <w:lvlJc w:val="left"/>
      <w:pPr>
        <w:tabs>
          <w:tab w:val="num" w:pos="1440"/>
        </w:tabs>
        <w:ind w:left="1440" w:hanging="360"/>
      </w:pPr>
      <w:rPr>
        <w:rFonts w:ascii="Times New Roman" w:hAnsi="Times New Roman" w:hint="default"/>
      </w:rPr>
    </w:lvl>
    <w:lvl w:ilvl="2" w:tplc="237E00A2" w:tentative="1">
      <w:start w:val="1"/>
      <w:numFmt w:val="bullet"/>
      <w:lvlText w:val="•"/>
      <w:lvlJc w:val="left"/>
      <w:pPr>
        <w:tabs>
          <w:tab w:val="num" w:pos="2160"/>
        </w:tabs>
        <w:ind w:left="2160" w:hanging="360"/>
      </w:pPr>
      <w:rPr>
        <w:rFonts w:ascii="Times New Roman" w:hAnsi="Times New Roman" w:hint="default"/>
      </w:rPr>
    </w:lvl>
    <w:lvl w:ilvl="3" w:tplc="C49AFB9C" w:tentative="1">
      <w:start w:val="1"/>
      <w:numFmt w:val="bullet"/>
      <w:lvlText w:val="•"/>
      <w:lvlJc w:val="left"/>
      <w:pPr>
        <w:tabs>
          <w:tab w:val="num" w:pos="2880"/>
        </w:tabs>
        <w:ind w:left="2880" w:hanging="360"/>
      </w:pPr>
      <w:rPr>
        <w:rFonts w:ascii="Times New Roman" w:hAnsi="Times New Roman" w:hint="default"/>
      </w:rPr>
    </w:lvl>
    <w:lvl w:ilvl="4" w:tplc="50A40796" w:tentative="1">
      <w:start w:val="1"/>
      <w:numFmt w:val="bullet"/>
      <w:lvlText w:val="•"/>
      <w:lvlJc w:val="left"/>
      <w:pPr>
        <w:tabs>
          <w:tab w:val="num" w:pos="3600"/>
        </w:tabs>
        <w:ind w:left="3600" w:hanging="360"/>
      </w:pPr>
      <w:rPr>
        <w:rFonts w:ascii="Times New Roman" w:hAnsi="Times New Roman" w:hint="default"/>
      </w:rPr>
    </w:lvl>
    <w:lvl w:ilvl="5" w:tplc="7FBE28EA" w:tentative="1">
      <w:start w:val="1"/>
      <w:numFmt w:val="bullet"/>
      <w:lvlText w:val="•"/>
      <w:lvlJc w:val="left"/>
      <w:pPr>
        <w:tabs>
          <w:tab w:val="num" w:pos="4320"/>
        </w:tabs>
        <w:ind w:left="4320" w:hanging="360"/>
      </w:pPr>
      <w:rPr>
        <w:rFonts w:ascii="Times New Roman" w:hAnsi="Times New Roman" w:hint="default"/>
      </w:rPr>
    </w:lvl>
    <w:lvl w:ilvl="6" w:tplc="EFF65CC0" w:tentative="1">
      <w:start w:val="1"/>
      <w:numFmt w:val="bullet"/>
      <w:lvlText w:val="•"/>
      <w:lvlJc w:val="left"/>
      <w:pPr>
        <w:tabs>
          <w:tab w:val="num" w:pos="5040"/>
        </w:tabs>
        <w:ind w:left="5040" w:hanging="360"/>
      </w:pPr>
      <w:rPr>
        <w:rFonts w:ascii="Times New Roman" w:hAnsi="Times New Roman" w:hint="default"/>
      </w:rPr>
    </w:lvl>
    <w:lvl w:ilvl="7" w:tplc="8F7E3CEA" w:tentative="1">
      <w:start w:val="1"/>
      <w:numFmt w:val="bullet"/>
      <w:lvlText w:val="•"/>
      <w:lvlJc w:val="left"/>
      <w:pPr>
        <w:tabs>
          <w:tab w:val="num" w:pos="5760"/>
        </w:tabs>
        <w:ind w:left="5760" w:hanging="360"/>
      </w:pPr>
      <w:rPr>
        <w:rFonts w:ascii="Times New Roman" w:hAnsi="Times New Roman" w:hint="default"/>
      </w:rPr>
    </w:lvl>
    <w:lvl w:ilvl="8" w:tplc="4F7A74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C4121C6"/>
    <w:multiLevelType w:val="hybridMultilevel"/>
    <w:tmpl w:val="B4EEA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8E4E3C"/>
    <w:multiLevelType w:val="hybridMultilevel"/>
    <w:tmpl w:val="36BC540E"/>
    <w:lvl w:ilvl="0" w:tplc="04060001">
      <w:start w:val="1"/>
      <w:numFmt w:val="bullet"/>
      <w:lvlText w:val=""/>
      <w:lvlJc w:val="left"/>
      <w:pPr>
        <w:ind w:left="833" w:hanging="360"/>
      </w:pPr>
      <w:rPr>
        <w:rFonts w:ascii="Symbol" w:hAnsi="Symbol" w:hint="default"/>
      </w:rPr>
    </w:lvl>
    <w:lvl w:ilvl="1" w:tplc="04060019" w:tentative="1">
      <w:start w:val="1"/>
      <w:numFmt w:val="lowerLetter"/>
      <w:lvlText w:val="%2."/>
      <w:lvlJc w:val="left"/>
      <w:pPr>
        <w:ind w:left="1553" w:hanging="360"/>
      </w:pPr>
    </w:lvl>
    <w:lvl w:ilvl="2" w:tplc="0406001B" w:tentative="1">
      <w:start w:val="1"/>
      <w:numFmt w:val="lowerRoman"/>
      <w:lvlText w:val="%3."/>
      <w:lvlJc w:val="right"/>
      <w:pPr>
        <w:ind w:left="2273" w:hanging="180"/>
      </w:pPr>
    </w:lvl>
    <w:lvl w:ilvl="3" w:tplc="0406000F" w:tentative="1">
      <w:start w:val="1"/>
      <w:numFmt w:val="decimal"/>
      <w:lvlText w:val="%4."/>
      <w:lvlJc w:val="left"/>
      <w:pPr>
        <w:ind w:left="2993" w:hanging="360"/>
      </w:pPr>
    </w:lvl>
    <w:lvl w:ilvl="4" w:tplc="04060019" w:tentative="1">
      <w:start w:val="1"/>
      <w:numFmt w:val="lowerLetter"/>
      <w:lvlText w:val="%5."/>
      <w:lvlJc w:val="left"/>
      <w:pPr>
        <w:ind w:left="3713" w:hanging="360"/>
      </w:pPr>
    </w:lvl>
    <w:lvl w:ilvl="5" w:tplc="0406001B" w:tentative="1">
      <w:start w:val="1"/>
      <w:numFmt w:val="lowerRoman"/>
      <w:lvlText w:val="%6."/>
      <w:lvlJc w:val="right"/>
      <w:pPr>
        <w:ind w:left="4433" w:hanging="180"/>
      </w:pPr>
    </w:lvl>
    <w:lvl w:ilvl="6" w:tplc="0406000F" w:tentative="1">
      <w:start w:val="1"/>
      <w:numFmt w:val="decimal"/>
      <w:lvlText w:val="%7."/>
      <w:lvlJc w:val="left"/>
      <w:pPr>
        <w:ind w:left="5153" w:hanging="360"/>
      </w:pPr>
    </w:lvl>
    <w:lvl w:ilvl="7" w:tplc="04060019" w:tentative="1">
      <w:start w:val="1"/>
      <w:numFmt w:val="lowerLetter"/>
      <w:lvlText w:val="%8."/>
      <w:lvlJc w:val="left"/>
      <w:pPr>
        <w:ind w:left="5873" w:hanging="360"/>
      </w:pPr>
    </w:lvl>
    <w:lvl w:ilvl="8" w:tplc="0406001B" w:tentative="1">
      <w:start w:val="1"/>
      <w:numFmt w:val="lowerRoman"/>
      <w:lvlText w:val="%9."/>
      <w:lvlJc w:val="right"/>
      <w:pPr>
        <w:ind w:left="6593" w:hanging="180"/>
      </w:pPr>
    </w:lvl>
  </w:abstractNum>
  <w:abstractNum w:abstractNumId="10" w15:restartNumberingAfterBreak="0">
    <w:nsid w:val="25294756"/>
    <w:multiLevelType w:val="hybridMultilevel"/>
    <w:tmpl w:val="FE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C7C69"/>
    <w:multiLevelType w:val="hybridMultilevel"/>
    <w:tmpl w:val="4094F2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1D5FAA"/>
    <w:multiLevelType w:val="hybridMultilevel"/>
    <w:tmpl w:val="9B4E96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E47E6B"/>
    <w:multiLevelType w:val="hybridMultilevel"/>
    <w:tmpl w:val="D60894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51D603E"/>
    <w:multiLevelType w:val="hybridMultilevel"/>
    <w:tmpl w:val="0870FF64"/>
    <w:lvl w:ilvl="0" w:tplc="4D30B60C">
      <w:start w:val="1"/>
      <w:numFmt w:val="bullet"/>
      <w:lvlText w:val=""/>
      <w:lvlJc w:val="left"/>
      <w:pPr>
        <w:ind w:left="720" w:hanging="360"/>
      </w:pPr>
      <w:rPr>
        <w:rFonts w:ascii="Symbol" w:hAnsi="Symbol" w:hint="default"/>
      </w:rPr>
    </w:lvl>
    <w:lvl w:ilvl="1" w:tplc="6714E3E8" w:tentative="1">
      <w:start w:val="1"/>
      <w:numFmt w:val="bullet"/>
      <w:lvlText w:val="o"/>
      <w:lvlJc w:val="left"/>
      <w:pPr>
        <w:ind w:left="1440" w:hanging="360"/>
      </w:pPr>
      <w:rPr>
        <w:rFonts w:ascii="Courier New" w:hAnsi="Courier New" w:cs="Courier New" w:hint="default"/>
      </w:rPr>
    </w:lvl>
    <w:lvl w:ilvl="2" w:tplc="FD22C67C" w:tentative="1">
      <w:start w:val="1"/>
      <w:numFmt w:val="bullet"/>
      <w:lvlText w:val=""/>
      <w:lvlJc w:val="left"/>
      <w:pPr>
        <w:ind w:left="2160" w:hanging="360"/>
      </w:pPr>
      <w:rPr>
        <w:rFonts w:ascii="Wingdings" w:hAnsi="Wingdings" w:hint="default"/>
      </w:rPr>
    </w:lvl>
    <w:lvl w:ilvl="3" w:tplc="2F6479AA" w:tentative="1">
      <w:start w:val="1"/>
      <w:numFmt w:val="bullet"/>
      <w:lvlText w:val=""/>
      <w:lvlJc w:val="left"/>
      <w:pPr>
        <w:ind w:left="2880" w:hanging="360"/>
      </w:pPr>
      <w:rPr>
        <w:rFonts w:ascii="Symbol" w:hAnsi="Symbol" w:hint="default"/>
      </w:rPr>
    </w:lvl>
    <w:lvl w:ilvl="4" w:tplc="04A6C9F2" w:tentative="1">
      <w:start w:val="1"/>
      <w:numFmt w:val="bullet"/>
      <w:lvlText w:val="o"/>
      <w:lvlJc w:val="left"/>
      <w:pPr>
        <w:ind w:left="3600" w:hanging="360"/>
      </w:pPr>
      <w:rPr>
        <w:rFonts w:ascii="Courier New" w:hAnsi="Courier New" w:cs="Courier New" w:hint="default"/>
      </w:rPr>
    </w:lvl>
    <w:lvl w:ilvl="5" w:tplc="DF4853FE" w:tentative="1">
      <w:start w:val="1"/>
      <w:numFmt w:val="bullet"/>
      <w:lvlText w:val=""/>
      <w:lvlJc w:val="left"/>
      <w:pPr>
        <w:ind w:left="4320" w:hanging="360"/>
      </w:pPr>
      <w:rPr>
        <w:rFonts w:ascii="Wingdings" w:hAnsi="Wingdings" w:hint="default"/>
      </w:rPr>
    </w:lvl>
    <w:lvl w:ilvl="6" w:tplc="8DC41718" w:tentative="1">
      <w:start w:val="1"/>
      <w:numFmt w:val="bullet"/>
      <w:lvlText w:val=""/>
      <w:lvlJc w:val="left"/>
      <w:pPr>
        <w:ind w:left="5040" w:hanging="360"/>
      </w:pPr>
      <w:rPr>
        <w:rFonts w:ascii="Symbol" w:hAnsi="Symbol" w:hint="default"/>
      </w:rPr>
    </w:lvl>
    <w:lvl w:ilvl="7" w:tplc="76704968" w:tentative="1">
      <w:start w:val="1"/>
      <w:numFmt w:val="bullet"/>
      <w:lvlText w:val="o"/>
      <w:lvlJc w:val="left"/>
      <w:pPr>
        <w:ind w:left="5760" w:hanging="360"/>
      </w:pPr>
      <w:rPr>
        <w:rFonts w:ascii="Courier New" w:hAnsi="Courier New" w:cs="Courier New" w:hint="default"/>
      </w:rPr>
    </w:lvl>
    <w:lvl w:ilvl="8" w:tplc="A3FCABD0" w:tentative="1">
      <w:start w:val="1"/>
      <w:numFmt w:val="bullet"/>
      <w:lvlText w:val=""/>
      <w:lvlJc w:val="left"/>
      <w:pPr>
        <w:ind w:left="6480" w:hanging="360"/>
      </w:pPr>
      <w:rPr>
        <w:rFonts w:ascii="Wingdings" w:hAnsi="Wingdings" w:hint="default"/>
      </w:rPr>
    </w:lvl>
  </w:abstractNum>
  <w:abstractNum w:abstractNumId="16" w15:restartNumberingAfterBreak="0">
    <w:nsid w:val="39AA7442"/>
    <w:multiLevelType w:val="hybridMultilevel"/>
    <w:tmpl w:val="8E7CBE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9FF2070"/>
    <w:multiLevelType w:val="hybridMultilevel"/>
    <w:tmpl w:val="3994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858D3"/>
    <w:multiLevelType w:val="hybridMultilevel"/>
    <w:tmpl w:val="A2E4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E540C2"/>
    <w:multiLevelType w:val="hybridMultilevel"/>
    <w:tmpl w:val="2ED02C0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E7D05D8"/>
    <w:multiLevelType w:val="hybridMultilevel"/>
    <w:tmpl w:val="ABF217D6"/>
    <w:lvl w:ilvl="0" w:tplc="CA7A37D2">
      <w:start w:val="1"/>
      <w:numFmt w:val="bullet"/>
      <w:lvlText w:val="•"/>
      <w:lvlJc w:val="left"/>
      <w:pPr>
        <w:tabs>
          <w:tab w:val="num" w:pos="720"/>
        </w:tabs>
        <w:ind w:left="720" w:hanging="360"/>
      </w:pPr>
      <w:rPr>
        <w:rFonts w:ascii="Times New Roman" w:hAnsi="Times New Roman" w:hint="default"/>
      </w:rPr>
    </w:lvl>
    <w:lvl w:ilvl="1" w:tplc="E690E0BC">
      <w:start w:val="1841"/>
      <w:numFmt w:val="bullet"/>
      <w:lvlText w:val="–"/>
      <w:lvlJc w:val="left"/>
      <w:pPr>
        <w:tabs>
          <w:tab w:val="num" w:pos="1440"/>
        </w:tabs>
        <w:ind w:left="1440" w:hanging="360"/>
      </w:pPr>
      <w:rPr>
        <w:rFonts w:ascii="Arial" w:hAnsi="Arial" w:hint="default"/>
      </w:rPr>
    </w:lvl>
    <w:lvl w:ilvl="2" w:tplc="5276D3CC" w:tentative="1">
      <w:start w:val="1"/>
      <w:numFmt w:val="bullet"/>
      <w:lvlText w:val="•"/>
      <w:lvlJc w:val="left"/>
      <w:pPr>
        <w:tabs>
          <w:tab w:val="num" w:pos="2160"/>
        </w:tabs>
        <w:ind w:left="2160" w:hanging="360"/>
      </w:pPr>
      <w:rPr>
        <w:rFonts w:ascii="Times New Roman" w:hAnsi="Times New Roman" w:hint="default"/>
      </w:rPr>
    </w:lvl>
    <w:lvl w:ilvl="3" w:tplc="B6A0CDE8" w:tentative="1">
      <w:start w:val="1"/>
      <w:numFmt w:val="bullet"/>
      <w:lvlText w:val="•"/>
      <w:lvlJc w:val="left"/>
      <w:pPr>
        <w:tabs>
          <w:tab w:val="num" w:pos="2880"/>
        </w:tabs>
        <w:ind w:left="2880" w:hanging="360"/>
      </w:pPr>
      <w:rPr>
        <w:rFonts w:ascii="Times New Roman" w:hAnsi="Times New Roman" w:hint="default"/>
      </w:rPr>
    </w:lvl>
    <w:lvl w:ilvl="4" w:tplc="C358B98A" w:tentative="1">
      <w:start w:val="1"/>
      <w:numFmt w:val="bullet"/>
      <w:lvlText w:val="•"/>
      <w:lvlJc w:val="left"/>
      <w:pPr>
        <w:tabs>
          <w:tab w:val="num" w:pos="3600"/>
        </w:tabs>
        <w:ind w:left="3600" w:hanging="360"/>
      </w:pPr>
      <w:rPr>
        <w:rFonts w:ascii="Times New Roman" w:hAnsi="Times New Roman" w:hint="default"/>
      </w:rPr>
    </w:lvl>
    <w:lvl w:ilvl="5" w:tplc="95F42144" w:tentative="1">
      <w:start w:val="1"/>
      <w:numFmt w:val="bullet"/>
      <w:lvlText w:val="•"/>
      <w:lvlJc w:val="left"/>
      <w:pPr>
        <w:tabs>
          <w:tab w:val="num" w:pos="4320"/>
        </w:tabs>
        <w:ind w:left="4320" w:hanging="360"/>
      </w:pPr>
      <w:rPr>
        <w:rFonts w:ascii="Times New Roman" w:hAnsi="Times New Roman" w:hint="default"/>
      </w:rPr>
    </w:lvl>
    <w:lvl w:ilvl="6" w:tplc="9604ABE4" w:tentative="1">
      <w:start w:val="1"/>
      <w:numFmt w:val="bullet"/>
      <w:lvlText w:val="•"/>
      <w:lvlJc w:val="left"/>
      <w:pPr>
        <w:tabs>
          <w:tab w:val="num" w:pos="5040"/>
        </w:tabs>
        <w:ind w:left="5040" w:hanging="360"/>
      </w:pPr>
      <w:rPr>
        <w:rFonts w:ascii="Times New Roman" w:hAnsi="Times New Roman" w:hint="default"/>
      </w:rPr>
    </w:lvl>
    <w:lvl w:ilvl="7" w:tplc="EAD821C0" w:tentative="1">
      <w:start w:val="1"/>
      <w:numFmt w:val="bullet"/>
      <w:lvlText w:val="•"/>
      <w:lvlJc w:val="left"/>
      <w:pPr>
        <w:tabs>
          <w:tab w:val="num" w:pos="5760"/>
        </w:tabs>
        <w:ind w:left="5760" w:hanging="360"/>
      </w:pPr>
      <w:rPr>
        <w:rFonts w:ascii="Times New Roman" w:hAnsi="Times New Roman" w:hint="default"/>
      </w:rPr>
    </w:lvl>
    <w:lvl w:ilvl="8" w:tplc="3AE8212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E17E46"/>
    <w:multiLevelType w:val="hybridMultilevel"/>
    <w:tmpl w:val="2BD8576E"/>
    <w:lvl w:ilvl="0" w:tplc="04060001">
      <w:start w:val="1"/>
      <w:numFmt w:val="bullet"/>
      <w:lvlText w:val=""/>
      <w:lvlJc w:val="left"/>
      <w:pPr>
        <w:ind w:left="720" w:hanging="360"/>
      </w:pPr>
      <w:rPr>
        <w:rFonts w:ascii="Symbol" w:hAnsi="Symbol" w:hint="default"/>
      </w:rPr>
    </w:lvl>
    <w:lvl w:ilvl="1" w:tplc="50B48BD2"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68469B"/>
    <w:multiLevelType w:val="hybridMultilevel"/>
    <w:tmpl w:val="C7A24A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4202D"/>
    <w:multiLevelType w:val="hybridMultilevel"/>
    <w:tmpl w:val="2500BC32"/>
    <w:lvl w:ilvl="0" w:tplc="F4AE70C4">
      <w:start w:val="1"/>
      <w:numFmt w:val="bullet"/>
      <w:lvlText w:val=""/>
      <w:lvlJc w:val="left"/>
      <w:pPr>
        <w:ind w:left="720" w:hanging="360"/>
      </w:pPr>
      <w:rPr>
        <w:rFonts w:ascii="Symbol" w:hAnsi="Symbol" w:hint="default"/>
      </w:rPr>
    </w:lvl>
    <w:lvl w:ilvl="1" w:tplc="73DC18FA">
      <w:start w:val="1"/>
      <w:numFmt w:val="bullet"/>
      <w:lvlText w:val="o"/>
      <w:lvlJc w:val="left"/>
      <w:pPr>
        <w:ind w:left="1440" w:hanging="360"/>
      </w:pPr>
      <w:rPr>
        <w:rFonts w:ascii="Courier New" w:hAnsi="Courier New" w:cs="Courier New" w:hint="default"/>
      </w:rPr>
    </w:lvl>
    <w:lvl w:ilvl="2" w:tplc="92CADFAA">
      <w:start w:val="1"/>
      <w:numFmt w:val="bullet"/>
      <w:lvlText w:val=""/>
      <w:lvlJc w:val="left"/>
      <w:pPr>
        <w:ind w:left="2160" w:hanging="360"/>
      </w:pPr>
      <w:rPr>
        <w:rFonts w:ascii="Wingdings" w:hAnsi="Wingdings" w:hint="default"/>
      </w:rPr>
    </w:lvl>
    <w:lvl w:ilvl="3" w:tplc="00C83434" w:tentative="1">
      <w:start w:val="1"/>
      <w:numFmt w:val="bullet"/>
      <w:lvlText w:val=""/>
      <w:lvlJc w:val="left"/>
      <w:pPr>
        <w:ind w:left="2880" w:hanging="360"/>
      </w:pPr>
      <w:rPr>
        <w:rFonts w:ascii="Symbol" w:hAnsi="Symbol" w:hint="default"/>
      </w:rPr>
    </w:lvl>
    <w:lvl w:ilvl="4" w:tplc="2B0E3C48" w:tentative="1">
      <w:start w:val="1"/>
      <w:numFmt w:val="bullet"/>
      <w:lvlText w:val="o"/>
      <w:lvlJc w:val="left"/>
      <w:pPr>
        <w:ind w:left="3600" w:hanging="360"/>
      </w:pPr>
      <w:rPr>
        <w:rFonts w:ascii="Courier New" w:hAnsi="Courier New" w:cs="Courier New" w:hint="default"/>
      </w:rPr>
    </w:lvl>
    <w:lvl w:ilvl="5" w:tplc="0A7EC8D2" w:tentative="1">
      <w:start w:val="1"/>
      <w:numFmt w:val="bullet"/>
      <w:lvlText w:val=""/>
      <w:lvlJc w:val="left"/>
      <w:pPr>
        <w:ind w:left="4320" w:hanging="360"/>
      </w:pPr>
      <w:rPr>
        <w:rFonts w:ascii="Wingdings" w:hAnsi="Wingdings" w:hint="default"/>
      </w:rPr>
    </w:lvl>
    <w:lvl w:ilvl="6" w:tplc="CBB43322" w:tentative="1">
      <w:start w:val="1"/>
      <w:numFmt w:val="bullet"/>
      <w:lvlText w:val=""/>
      <w:lvlJc w:val="left"/>
      <w:pPr>
        <w:ind w:left="5040" w:hanging="360"/>
      </w:pPr>
      <w:rPr>
        <w:rFonts w:ascii="Symbol" w:hAnsi="Symbol" w:hint="default"/>
      </w:rPr>
    </w:lvl>
    <w:lvl w:ilvl="7" w:tplc="1A58225A" w:tentative="1">
      <w:start w:val="1"/>
      <w:numFmt w:val="bullet"/>
      <w:lvlText w:val="o"/>
      <w:lvlJc w:val="left"/>
      <w:pPr>
        <w:ind w:left="5760" w:hanging="360"/>
      </w:pPr>
      <w:rPr>
        <w:rFonts w:ascii="Courier New" w:hAnsi="Courier New" w:cs="Courier New" w:hint="default"/>
      </w:rPr>
    </w:lvl>
    <w:lvl w:ilvl="8" w:tplc="1F3811FE" w:tentative="1">
      <w:start w:val="1"/>
      <w:numFmt w:val="bullet"/>
      <w:lvlText w:val=""/>
      <w:lvlJc w:val="left"/>
      <w:pPr>
        <w:ind w:left="6480" w:hanging="360"/>
      </w:pPr>
      <w:rPr>
        <w:rFonts w:ascii="Wingdings" w:hAnsi="Wingdings" w:hint="default"/>
      </w:rPr>
    </w:lvl>
  </w:abstractNum>
  <w:abstractNum w:abstractNumId="2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4B427A16"/>
    <w:multiLevelType w:val="singleLevel"/>
    <w:tmpl w:val="2E6074FA"/>
    <w:lvl w:ilvl="0">
      <w:numFmt w:val="bullet"/>
      <w:pStyle w:val="Opstilling-punkttegnmafstand"/>
      <w:lvlText w:val="*"/>
      <w:lvlJc w:val="left"/>
    </w:lvl>
  </w:abstractNum>
  <w:abstractNum w:abstractNumId="27" w15:restartNumberingAfterBreak="0">
    <w:nsid w:val="4ECC3F8C"/>
    <w:multiLevelType w:val="hybridMultilevel"/>
    <w:tmpl w:val="6344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A153B"/>
    <w:multiLevelType w:val="hybridMultilevel"/>
    <w:tmpl w:val="646ABF32"/>
    <w:lvl w:ilvl="0" w:tplc="EBD4B95E">
      <w:start w:val="1"/>
      <w:numFmt w:val="decimal"/>
      <w:pStyle w:val="Opstilling-Numremafstand"/>
      <w:lvlText w:val="%1)"/>
      <w:lvlJc w:val="left"/>
      <w:pPr>
        <w:tabs>
          <w:tab w:val="num" w:pos="473"/>
        </w:tabs>
        <w:ind w:left="473" w:hanging="360"/>
      </w:pPr>
      <w:rPr>
        <w:rFonts w:hint="default"/>
      </w:rPr>
    </w:lvl>
    <w:lvl w:ilvl="1" w:tplc="F530E8A8" w:tentative="1">
      <w:start w:val="1"/>
      <w:numFmt w:val="lowerLetter"/>
      <w:lvlText w:val="%2."/>
      <w:lvlJc w:val="left"/>
      <w:pPr>
        <w:tabs>
          <w:tab w:val="num" w:pos="1440"/>
        </w:tabs>
        <w:ind w:left="1440" w:hanging="360"/>
      </w:pPr>
    </w:lvl>
    <w:lvl w:ilvl="2" w:tplc="1B28334A" w:tentative="1">
      <w:start w:val="1"/>
      <w:numFmt w:val="lowerRoman"/>
      <w:lvlText w:val="%3."/>
      <w:lvlJc w:val="right"/>
      <w:pPr>
        <w:tabs>
          <w:tab w:val="num" w:pos="2160"/>
        </w:tabs>
        <w:ind w:left="2160" w:hanging="180"/>
      </w:pPr>
    </w:lvl>
    <w:lvl w:ilvl="3" w:tplc="F9E45778" w:tentative="1">
      <w:start w:val="1"/>
      <w:numFmt w:val="decimal"/>
      <w:lvlText w:val="%4."/>
      <w:lvlJc w:val="left"/>
      <w:pPr>
        <w:tabs>
          <w:tab w:val="num" w:pos="2880"/>
        </w:tabs>
        <w:ind w:left="2880" w:hanging="360"/>
      </w:pPr>
    </w:lvl>
    <w:lvl w:ilvl="4" w:tplc="3000EB34" w:tentative="1">
      <w:start w:val="1"/>
      <w:numFmt w:val="lowerLetter"/>
      <w:lvlText w:val="%5."/>
      <w:lvlJc w:val="left"/>
      <w:pPr>
        <w:tabs>
          <w:tab w:val="num" w:pos="3600"/>
        </w:tabs>
        <w:ind w:left="3600" w:hanging="360"/>
      </w:pPr>
    </w:lvl>
    <w:lvl w:ilvl="5" w:tplc="E102BEF0" w:tentative="1">
      <w:start w:val="1"/>
      <w:numFmt w:val="lowerRoman"/>
      <w:lvlText w:val="%6."/>
      <w:lvlJc w:val="right"/>
      <w:pPr>
        <w:tabs>
          <w:tab w:val="num" w:pos="4320"/>
        </w:tabs>
        <w:ind w:left="4320" w:hanging="180"/>
      </w:pPr>
    </w:lvl>
    <w:lvl w:ilvl="6" w:tplc="8CD2BCA8" w:tentative="1">
      <w:start w:val="1"/>
      <w:numFmt w:val="decimal"/>
      <w:lvlText w:val="%7."/>
      <w:lvlJc w:val="left"/>
      <w:pPr>
        <w:tabs>
          <w:tab w:val="num" w:pos="5040"/>
        </w:tabs>
        <w:ind w:left="5040" w:hanging="360"/>
      </w:pPr>
    </w:lvl>
    <w:lvl w:ilvl="7" w:tplc="01A8FF9C" w:tentative="1">
      <w:start w:val="1"/>
      <w:numFmt w:val="lowerLetter"/>
      <w:lvlText w:val="%8."/>
      <w:lvlJc w:val="left"/>
      <w:pPr>
        <w:tabs>
          <w:tab w:val="num" w:pos="5760"/>
        </w:tabs>
        <w:ind w:left="5760" w:hanging="360"/>
      </w:pPr>
    </w:lvl>
    <w:lvl w:ilvl="8" w:tplc="BFBE4C98" w:tentative="1">
      <w:start w:val="1"/>
      <w:numFmt w:val="lowerRoman"/>
      <w:lvlText w:val="%9."/>
      <w:lvlJc w:val="right"/>
      <w:pPr>
        <w:tabs>
          <w:tab w:val="num" w:pos="6480"/>
        </w:tabs>
        <w:ind w:left="6480" w:hanging="180"/>
      </w:pPr>
    </w:lvl>
  </w:abstractNum>
  <w:abstractNum w:abstractNumId="29" w15:restartNumberingAfterBreak="0">
    <w:nsid w:val="5AE435E2"/>
    <w:multiLevelType w:val="hybridMultilevel"/>
    <w:tmpl w:val="DA523F60"/>
    <w:lvl w:ilvl="0" w:tplc="950EA020">
      <w:start w:val="1"/>
      <w:numFmt w:val="bullet"/>
      <w:lvlText w:val=""/>
      <w:lvlJc w:val="left"/>
      <w:pPr>
        <w:ind w:left="720" w:hanging="360"/>
      </w:pPr>
      <w:rPr>
        <w:rFonts w:ascii="Symbol" w:hAnsi="Symbol" w:hint="default"/>
      </w:rPr>
    </w:lvl>
    <w:lvl w:ilvl="1" w:tplc="5E66D838">
      <w:start w:val="1"/>
      <w:numFmt w:val="bullet"/>
      <w:lvlText w:val="o"/>
      <w:lvlJc w:val="left"/>
      <w:pPr>
        <w:ind w:left="1440" w:hanging="360"/>
      </w:pPr>
      <w:rPr>
        <w:rFonts w:ascii="Courier New" w:hAnsi="Courier New" w:cs="Courier New" w:hint="default"/>
      </w:rPr>
    </w:lvl>
    <w:lvl w:ilvl="2" w:tplc="8FD465F0" w:tentative="1">
      <w:start w:val="1"/>
      <w:numFmt w:val="bullet"/>
      <w:lvlText w:val=""/>
      <w:lvlJc w:val="left"/>
      <w:pPr>
        <w:ind w:left="2160" w:hanging="360"/>
      </w:pPr>
      <w:rPr>
        <w:rFonts w:ascii="Wingdings" w:hAnsi="Wingdings" w:hint="default"/>
      </w:rPr>
    </w:lvl>
    <w:lvl w:ilvl="3" w:tplc="FE6AE8B0" w:tentative="1">
      <w:start w:val="1"/>
      <w:numFmt w:val="bullet"/>
      <w:lvlText w:val=""/>
      <w:lvlJc w:val="left"/>
      <w:pPr>
        <w:ind w:left="2880" w:hanging="360"/>
      </w:pPr>
      <w:rPr>
        <w:rFonts w:ascii="Symbol" w:hAnsi="Symbol" w:hint="default"/>
      </w:rPr>
    </w:lvl>
    <w:lvl w:ilvl="4" w:tplc="44C21474" w:tentative="1">
      <w:start w:val="1"/>
      <w:numFmt w:val="bullet"/>
      <w:lvlText w:val="o"/>
      <w:lvlJc w:val="left"/>
      <w:pPr>
        <w:ind w:left="3600" w:hanging="360"/>
      </w:pPr>
      <w:rPr>
        <w:rFonts w:ascii="Courier New" w:hAnsi="Courier New" w:cs="Courier New" w:hint="default"/>
      </w:rPr>
    </w:lvl>
    <w:lvl w:ilvl="5" w:tplc="FDF66CAC" w:tentative="1">
      <w:start w:val="1"/>
      <w:numFmt w:val="bullet"/>
      <w:lvlText w:val=""/>
      <w:lvlJc w:val="left"/>
      <w:pPr>
        <w:ind w:left="4320" w:hanging="360"/>
      </w:pPr>
      <w:rPr>
        <w:rFonts w:ascii="Wingdings" w:hAnsi="Wingdings" w:hint="default"/>
      </w:rPr>
    </w:lvl>
    <w:lvl w:ilvl="6" w:tplc="6428CCC4" w:tentative="1">
      <w:start w:val="1"/>
      <w:numFmt w:val="bullet"/>
      <w:lvlText w:val=""/>
      <w:lvlJc w:val="left"/>
      <w:pPr>
        <w:ind w:left="5040" w:hanging="360"/>
      </w:pPr>
      <w:rPr>
        <w:rFonts w:ascii="Symbol" w:hAnsi="Symbol" w:hint="default"/>
      </w:rPr>
    </w:lvl>
    <w:lvl w:ilvl="7" w:tplc="340C0480" w:tentative="1">
      <w:start w:val="1"/>
      <w:numFmt w:val="bullet"/>
      <w:lvlText w:val="o"/>
      <w:lvlJc w:val="left"/>
      <w:pPr>
        <w:ind w:left="5760" w:hanging="360"/>
      </w:pPr>
      <w:rPr>
        <w:rFonts w:ascii="Courier New" w:hAnsi="Courier New" w:cs="Courier New" w:hint="default"/>
      </w:rPr>
    </w:lvl>
    <w:lvl w:ilvl="8" w:tplc="0AE2FB9A" w:tentative="1">
      <w:start w:val="1"/>
      <w:numFmt w:val="bullet"/>
      <w:lvlText w:val=""/>
      <w:lvlJc w:val="left"/>
      <w:pPr>
        <w:ind w:left="6480" w:hanging="360"/>
      </w:pPr>
      <w:rPr>
        <w:rFonts w:ascii="Wingdings" w:hAnsi="Wingdings" w:hint="default"/>
      </w:rPr>
    </w:lvl>
  </w:abstractNum>
  <w:abstractNum w:abstractNumId="30" w15:restartNumberingAfterBreak="0">
    <w:nsid w:val="5C364F56"/>
    <w:multiLevelType w:val="hybridMultilevel"/>
    <w:tmpl w:val="2F10E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80DF2"/>
    <w:multiLevelType w:val="hybridMultilevel"/>
    <w:tmpl w:val="3FE24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F674B74"/>
    <w:multiLevelType w:val="hybridMultilevel"/>
    <w:tmpl w:val="170EEA0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A6069A"/>
    <w:multiLevelType w:val="multilevel"/>
    <w:tmpl w:val="989C13BC"/>
    <w:lvl w:ilvl="0">
      <w:start w:val="1"/>
      <w:numFmt w:val="decimal"/>
      <w:lvlText w:val="%1"/>
      <w:lvlJc w:val="left"/>
      <w:pPr>
        <w:tabs>
          <w:tab w:val="num" w:pos="1700"/>
        </w:tabs>
        <w:ind w:left="1700" w:hanging="425"/>
      </w:pPr>
    </w:lvl>
    <w:lvl w:ilvl="1">
      <w:start w:val="1"/>
      <w:numFmt w:val="decimal"/>
      <w:lvlText w:val="%1.%2"/>
      <w:lvlJc w:val="left"/>
      <w:pPr>
        <w:tabs>
          <w:tab w:val="num" w:pos="2126"/>
        </w:tabs>
        <w:ind w:left="2126" w:hanging="426"/>
      </w:pPr>
    </w:lvl>
    <w:lvl w:ilvl="2">
      <w:start w:val="1"/>
      <w:numFmt w:val="lowerLetter"/>
      <w:lvlText w:val="%3)"/>
      <w:lvlJc w:val="left"/>
      <w:pPr>
        <w:tabs>
          <w:tab w:val="num" w:pos="2486"/>
        </w:tabs>
        <w:ind w:left="2126" w:firstLine="0"/>
      </w:pPr>
    </w:lvl>
    <w:lvl w:ilvl="3">
      <w:start w:val="1"/>
      <w:numFmt w:val="decimal"/>
      <w:lvlText w:val="%1.%2.%3.%4."/>
      <w:lvlJc w:val="left"/>
      <w:pPr>
        <w:tabs>
          <w:tab w:val="num" w:pos="3795"/>
        </w:tabs>
        <w:ind w:left="3003" w:hanging="648"/>
      </w:pPr>
    </w:lvl>
    <w:lvl w:ilvl="4">
      <w:start w:val="1"/>
      <w:numFmt w:val="decimal"/>
      <w:lvlText w:val="%1.%2.%3.%4.%5."/>
      <w:lvlJc w:val="left"/>
      <w:pPr>
        <w:tabs>
          <w:tab w:val="num" w:pos="4515"/>
        </w:tabs>
        <w:ind w:left="3507" w:hanging="792"/>
      </w:pPr>
    </w:lvl>
    <w:lvl w:ilvl="5">
      <w:start w:val="1"/>
      <w:numFmt w:val="decimal"/>
      <w:lvlText w:val="%1.%2.%3.%4.%5.%6."/>
      <w:lvlJc w:val="left"/>
      <w:pPr>
        <w:tabs>
          <w:tab w:val="num" w:pos="4875"/>
        </w:tabs>
        <w:ind w:left="4011" w:hanging="936"/>
      </w:pPr>
    </w:lvl>
    <w:lvl w:ilvl="6">
      <w:start w:val="1"/>
      <w:numFmt w:val="decimal"/>
      <w:lvlText w:val="%1.%2.%3.%4.%5.%6.%7."/>
      <w:lvlJc w:val="left"/>
      <w:pPr>
        <w:tabs>
          <w:tab w:val="num" w:pos="5595"/>
        </w:tabs>
        <w:ind w:left="4515" w:hanging="1080"/>
      </w:pPr>
    </w:lvl>
    <w:lvl w:ilvl="7">
      <w:start w:val="1"/>
      <w:numFmt w:val="decimal"/>
      <w:lvlText w:val="%1.%2.%3.%4.%5.%6.%7.%8."/>
      <w:lvlJc w:val="left"/>
      <w:pPr>
        <w:tabs>
          <w:tab w:val="num" w:pos="6315"/>
        </w:tabs>
        <w:ind w:left="5019" w:hanging="1224"/>
      </w:pPr>
    </w:lvl>
    <w:lvl w:ilvl="8">
      <w:start w:val="1"/>
      <w:numFmt w:val="decimal"/>
      <w:lvlText w:val="%1.%2.%3.%4.%5.%6.%7.%8.%9."/>
      <w:lvlJc w:val="left"/>
      <w:pPr>
        <w:tabs>
          <w:tab w:val="num" w:pos="7035"/>
        </w:tabs>
        <w:ind w:left="5595" w:hanging="1440"/>
      </w:pPr>
    </w:lvl>
  </w:abstractNum>
  <w:abstractNum w:abstractNumId="34" w15:restartNumberingAfterBreak="0">
    <w:nsid w:val="67A97CF0"/>
    <w:multiLevelType w:val="hybridMultilevel"/>
    <w:tmpl w:val="9D86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36" w15:restartNumberingAfterBreak="0">
    <w:nsid w:val="6ADF4DE8"/>
    <w:multiLevelType w:val="hybridMultilevel"/>
    <w:tmpl w:val="E8F0FF70"/>
    <w:lvl w:ilvl="0" w:tplc="73A27892">
      <w:start w:val="1"/>
      <w:numFmt w:val="bullet"/>
      <w:lvlText w:val=""/>
      <w:lvlJc w:val="left"/>
      <w:pPr>
        <w:ind w:left="720" w:hanging="360"/>
      </w:pPr>
      <w:rPr>
        <w:rFonts w:ascii="Symbol" w:hAnsi="Symbol" w:hint="default"/>
      </w:rPr>
    </w:lvl>
    <w:lvl w:ilvl="1" w:tplc="F796BA94" w:tentative="1">
      <w:start w:val="1"/>
      <w:numFmt w:val="bullet"/>
      <w:lvlText w:val="o"/>
      <w:lvlJc w:val="left"/>
      <w:pPr>
        <w:ind w:left="1440" w:hanging="360"/>
      </w:pPr>
      <w:rPr>
        <w:rFonts w:ascii="Courier New" w:hAnsi="Courier New" w:cs="Courier New" w:hint="default"/>
      </w:rPr>
    </w:lvl>
    <w:lvl w:ilvl="2" w:tplc="63AE7662" w:tentative="1">
      <w:start w:val="1"/>
      <w:numFmt w:val="bullet"/>
      <w:lvlText w:val=""/>
      <w:lvlJc w:val="left"/>
      <w:pPr>
        <w:ind w:left="2160" w:hanging="360"/>
      </w:pPr>
      <w:rPr>
        <w:rFonts w:ascii="Wingdings" w:hAnsi="Wingdings" w:hint="default"/>
      </w:rPr>
    </w:lvl>
    <w:lvl w:ilvl="3" w:tplc="27EAB4D8" w:tentative="1">
      <w:start w:val="1"/>
      <w:numFmt w:val="bullet"/>
      <w:lvlText w:val=""/>
      <w:lvlJc w:val="left"/>
      <w:pPr>
        <w:ind w:left="2880" w:hanging="360"/>
      </w:pPr>
      <w:rPr>
        <w:rFonts w:ascii="Symbol" w:hAnsi="Symbol" w:hint="default"/>
      </w:rPr>
    </w:lvl>
    <w:lvl w:ilvl="4" w:tplc="46CA4B64" w:tentative="1">
      <w:start w:val="1"/>
      <w:numFmt w:val="bullet"/>
      <w:lvlText w:val="o"/>
      <w:lvlJc w:val="left"/>
      <w:pPr>
        <w:ind w:left="3600" w:hanging="360"/>
      </w:pPr>
      <w:rPr>
        <w:rFonts w:ascii="Courier New" w:hAnsi="Courier New" w:cs="Courier New" w:hint="default"/>
      </w:rPr>
    </w:lvl>
    <w:lvl w:ilvl="5" w:tplc="AA9A47C2" w:tentative="1">
      <w:start w:val="1"/>
      <w:numFmt w:val="bullet"/>
      <w:lvlText w:val=""/>
      <w:lvlJc w:val="left"/>
      <w:pPr>
        <w:ind w:left="4320" w:hanging="360"/>
      </w:pPr>
      <w:rPr>
        <w:rFonts w:ascii="Wingdings" w:hAnsi="Wingdings" w:hint="default"/>
      </w:rPr>
    </w:lvl>
    <w:lvl w:ilvl="6" w:tplc="6E8C7FE4" w:tentative="1">
      <w:start w:val="1"/>
      <w:numFmt w:val="bullet"/>
      <w:lvlText w:val=""/>
      <w:lvlJc w:val="left"/>
      <w:pPr>
        <w:ind w:left="5040" w:hanging="360"/>
      </w:pPr>
      <w:rPr>
        <w:rFonts w:ascii="Symbol" w:hAnsi="Symbol" w:hint="default"/>
      </w:rPr>
    </w:lvl>
    <w:lvl w:ilvl="7" w:tplc="B3B4B5B6" w:tentative="1">
      <w:start w:val="1"/>
      <w:numFmt w:val="bullet"/>
      <w:lvlText w:val="o"/>
      <w:lvlJc w:val="left"/>
      <w:pPr>
        <w:ind w:left="5760" w:hanging="360"/>
      </w:pPr>
      <w:rPr>
        <w:rFonts w:ascii="Courier New" w:hAnsi="Courier New" w:cs="Courier New" w:hint="default"/>
      </w:rPr>
    </w:lvl>
    <w:lvl w:ilvl="8" w:tplc="B3540B18" w:tentative="1">
      <w:start w:val="1"/>
      <w:numFmt w:val="bullet"/>
      <w:lvlText w:val=""/>
      <w:lvlJc w:val="left"/>
      <w:pPr>
        <w:ind w:left="6480" w:hanging="360"/>
      </w:pPr>
      <w:rPr>
        <w:rFonts w:ascii="Wingdings" w:hAnsi="Wingdings" w:hint="default"/>
      </w:rPr>
    </w:lvl>
  </w:abstractNum>
  <w:abstractNum w:abstractNumId="37" w15:restartNumberingAfterBreak="0">
    <w:nsid w:val="6EDA7BE2"/>
    <w:multiLevelType w:val="hybridMultilevel"/>
    <w:tmpl w:val="A246E05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95208AB"/>
    <w:multiLevelType w:val="hybridMultilevel"/>
    <w:tmpl w:val="4DD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B168A"/>
    <w:multiLevelType w:val="hybridMultilevel"/>
    <w:tmpl w:val="D89EE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CE52A5C"/>
    <w:multiLevelType w:val="hybridMultilevel"/>
    <w:tmpl w:val="89C8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D1060"/>
    <w:multiLevelType w:val="hybridMultilevel"/>
    <w:tmpl w:val="B176A97A"/>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E4C7B33"/>
    <w:multiLevelType w:val="hybridMultilevel"/>
    <w:tmpl w:val="758A962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0"/>
  </w:num>
  <w:num w:numId="2">
    <w:abstractNumId w:val="35"/>
  </w:num>
  <w:num w:numId="3">
    <w:abstractNumId w:val="33"/>
  </w:num>
  <w:num w:numId="4">
    <w:abstractNumId w:val="23"/>
  </w:num>
  <w:num w:numId="5">
    <w:abstractNumId w:val="12"/>
  </w:num>
  <w:num w:numId="6">
    <w:abstractNumId w:val="26"/>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7">
    <w:abstractNumId w:val="28"/>
  </w:num>
  <w:num w:numId="8">
    <w:abstractNumId w:val="4"/>
  </w:num>
  <w:num w:numId="9">
    <w:abstractNumId w:val="38"/>
  </w:num>
  <w:num w:numId="10">
    <w:abstractNumId w:val="36"/>
  </w:num>
  <w:num w:numId="11">
    <w:abstractNumId w:val="22"/>
  </w:num>
  <w:num w:numId="12">
    <w:abstractNumId w:val="29"/>
  </w:num>
  <w:num w:numId="13">
    <w:abstractNumId w:val="24"/>
  </w:num>
  <w:num w:numId="14">
    <w:abstractNumId w:val="5"/>
  </w:num>
  <w:num w:numId="15">
    <w:abstractNumId w:val="42"/>
  </w:num>
  <w:num w:numId="16">
    <w:abstractNumId w:val="3"/>
  </w:num>
  <w:num w:numId="17">
    <w:abstractNumId w:val="21"/>
  </w:num>
  <w:num w:numId="18">
    <w:abstractNumId w:val="15"/>
  </w:num>
  <w:num w:numId="19">
    <w:abstractNumId w:val="6"/>
  </w:num>
  <w:num w:numId="20">
    <w:abstractNumId w:val="14"/>
  </w:num>
  <w:num w:numId="21">
    <w:abstractNumId w:val="19"/>
  </w:num>
  <w:num w:numId="22">
    <w:abstractNumId w:val="34"/>
  </w:num>
  <w:num w:numId="23">
    <w:abstractNumId w:val="17"/>
  </w:num>
  <w:num w:numId="24">
    <w:abstractNumId w:val="40"/>
  </w:num>
  <w:num w:numId="25">
    <w:abstractNumId w:val="27"/>
  </w:num>
  <w:num w:numId="26">
    <w:abstractNumId w:val="18"/>
  </w:num>
  <w:num w:numId="27">
    <w:abstractNumId w:val="30"/>
  </w:num>
  <w:num w:numId="28">
    <w:abstractNumId w:val="10"/>
  </w:num>
  <w:num w:numId="29">
    <w:abstractNumId w:val="31"/>
  </w:num>
  <w:num w:numId="30">
    <w:abstractNumId w:val="9"/>
  </w:num>
  <w:num w:numId="31">
    <w:abstractNumId w:val="41"/>
  </w:num>
  <w:num w:numId="32">
    <w:abstractNumId w:val="25"/>
  </w:num>
  <w:num w:numId="33">
    <w:abstractNumId w:val="8"/>
  </w:num>
  <w:num w:numId="34">
    <w:abstractNumId w:val="2"/>
  </w:num>
  <w:num w:numId="35">
    <w:abstractNumId w:val="13"/>
  </w:num>
  <w:num w:numId="36">
    <w:abstractNumId w:val="1"/>
  </w:num>
  <w:num w:numId="37">
    <w:abstractNumId w:val="11"/>
  </w:num>
  <w:num w:numId="38">
    <w:abstractNumId w:val="32"/>
  </w:num>
  <w:num w:numId="39">
    <w:abstractNumId w:val="7"/>
  </w:num>
  <w:num w:numId="40">
    <w:abstractNumId w:val="20"/>
  </w:num>
  <w:num w:numId="41">
    <w:abstractNumId w:val="39"/>
  </w:num>
  <w:num w:numId="42">
    <w:abstractNumId w:val="37"/>
  </w:num>
  <w:num w:numId="43">
    <w:abstractNumId w:val="16"/>
  </w:num>
  <w:num w:numId="44">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8A"/>
    <w:rsid w:val="00000999"/>
    <w:rsid w:val="00001B12"/>
    <w:rsid w:val="00002160"/>
    <w:rsid w:val="0000267E"/>
    <w:rsid w:val="00003343"/>
    <w:rsid w:val="00003D45"/>
    <w:rsid w:val="00004409"/>
    <w:rsid w:val="00005005"/>
    <w:rsid w:val="00006569"/>
    <w:rsid w:val="0000718E"/>
    <w:rsid w:val="00010B27"/>
    <w:rsid w:val="000117BA"/>
    <w:rsid w:val="00013A41"/>
    <w:rsid w:val="00013B19"/>
    <w:rsid w:val="000155AE"/>
    <w:rsid w:val="00016B61"/>
    <w:rsid w:val="00017079"/>
    <w:rsid w:val="00017730"/>
    <w:rsid w:val="00021C6A"/>
    <w:rsid w:val="00022208"/>
    <w:rsid w:val="00022CE5"/>
    <w:rsid w:val="00022E81"/>
    <w:rsid w:val="00023724"/>
    <w:rsid w:val="00025438"/>
    <w:rsid w:val="00025C42"/>
    <w:rsid w:val="000309D0"/>
    <w:rsid w:val="00030CD3"/>
    <w:rsid w:val="00031D79"/>
    <w:rsid w:val="00032977"/>
    <w:rsid w:val="0003451B"/>
    <w:rsid w:val="00035FFC"/>
    <w:rsid w:val="00036170"/>
    <w:rsid w:val="000369B6"/>
    <w:rsid w:val="0003723E"/>
    <w:rsid w:val="000423F7"/>
    <w:rsid w:val="00043DA5"/>
    <w:rsid w:val="000458CB"/>
    <w:rsid w:val="00046D4F"/>
    <w:rsid w:val="000473E3"/>
    <w:rsid w:val="00047E25"/>
    <w:rsid w:val="0005092A"/>
    <w:rsid w:val="00052A5E"/>
    <w:rsid w:val="00056834"/>
    <w:rsid w:val="00056D68"/>
    <w:rsid w:val="00057844"/>
    <w:rsid w:val="00057ECA"/>
    <w:rsid w:val="000606F4"/>
    <w:rsid w:val="000616AA"/>
    <w:rsid w:val="00061BB6"/>
    <w:rsid w:val="000660F2"/>
    <w:rsid w:val="00066551"/>
    <w:rsid w:val="00067469"/>
    <w:rsid w:val="0006796E"/>
    <w:rsid w:val="00070658"/>
    <w:rsid w:val="000717D3"/>
    <w:rsid w:val="000723D8"/>
    <w:rsid w:val="00073983"/>
    <w:rsid w:val="0007402E"/>
    <w:rsid w:val="00076695"/>
    <w:rsid w:val="000809BC"/>
    <w:rsid w:val="00082DAD"/>
    <w:rsid w:val="00083D6B"/>
    <w:rsid w:val="000858E0"/>
    <w:rsid w:val="0008626D"/>
    <w:rsid w:val="00086457"/>
    <w:rsid w:val="00086E1B"/>
    <w:rsid w:val="00090103"/>
    <w:rsid w:val="00091759"/>
    <w:rsid w:val="000954C4"/>
    <w:rsid w:val="00096254"/>
    <w:rsid w:val="00096D23"/>
    <w:rsid w:val="00097AE2"/>
    <w:rsid w:val="000A00C3"/>
    <w:rsid w:val="000A113C"/>
    <w:rsid w:val="000A5951"/>
    <w:rsid w:val="000A5EFD"/>
    <w:rsid w:val="000A6DF5"/>
    <w:rsid w:val="000A76A6"/>
    <w:rsid w:val="000A78EC"/>
    <w:rsid w:val="000B3A9C"/>
    <w:rsid w:val="000B5078"/>
    <w:rsid w:val="000C24C9"/>
    <w:rsid w:val="000C29EA"/>
    <w:rsid w:val="000C36F8"/>
    <w:rsid w:val="000C3C83"/>
    <w:rsid w:val="000C473E"/>
    <w:rsid w:val="000C4B33"/>
    <w:rsid w:val="000C5162"/>
    <w:rsid w:val="000C5EB6"/>
    <w:rsid w:val="000C6065"/>
    <w:rsid w:val="000D21E6"/>
    <w:rsid w:val="000D37E0"/>
    <w:rsid w:val="000D6322"/>
    <w:rsid w:val="000E1602"/>
    <w:rsid w:val="000E1D52"/>
    <w:rsid w:val="000E36CD"/>
    <w:rsid w:val="000E4578"/>
    <w:rsid w:val="000F0F39"/>
    <w:rsid w:val="000F1424"/>
    <w:rsid w:val="000F26DE"/>
    <w:rsid w:val="000F2DC3"/>
    <w:rsid w:val="000F3E53"/>
    <w:rsid w:val="000F772D"/>
    <w:rsid w:val="00100899"/>
    <w:rsid w:val="00100D6B"/>
    <w:rsid w:val="001026E3"/>
    <w:rsid w:val="00102B70"/>
    <w:rsid w:val="00103EC6"/>
    <w:rsid w:val="00104568"/>
    <w:rsid w:val="00104E22"/>
    <w:rsid w:val="0010564E"/>
    <w:rsid w:val="00106589"/>
    <w:rsid w:val="00106F32"/>
    <w:rsid w:val="0010747A"/>
    <w:rsid w:val="0011378C"/>
    <w:rsid w:val="00114956"/>
    <w:rsid w:val="001154C3"/>
    <w:rsid w:val="00115C65"/>
    <w:rsid w:val="001160F1"/>
    <w:rsid w:val="0011620D"/>
    <w:rsid w:val="00117EEE"/>
    <w:rsid w:val="00122989"/>
    <w:rsid w:val="001249A6"/>
    <w:rsid w:val="00126727"/>
    <w:rsid w:val="00130123"/>
    <w:rsid w:val="001323E5"/>
    <w:rsid w:val="0013267C"/>
    <w:rsid w:val="001339F5"/>
    <w:rsid w:val="00137A55"/>
    <w:rsid w:val="00140B7D"/>
    <w:rsid w:val="00141B06"/>
    <w:rsid w:val="0014252A"/>
    <w:rsid w:val="001454BD"/>
    <w:rsid w:val="0014604D"/>
    <w:rsid w:val="001541DE"/>
    <w:rsid w:val="00154A51"/>
    <w:rsid w:val="00160122"/>
    <w:rsid w:val="001616B7"/>
    <w:rsid w:val="00162851"/>
    <w:rsid w:val="001629D7"/>
    <w:rsid w:val="001644CD"/>
    <w:rsid w:val="001663ED"/>
    <w:rsid w:val="001664CA"/>
    <w:rsid w:val="00166534"/>
    <w:rsid w:val="00166F88"/>
    <w:rsid w:val="0017096B"/>
    <w:rsid w:val="00170D27"/>
    <w:rsid w:val="0017126A"/>
    <w:rsid w:val="00172298"/>
    <w:rsid w:val="00174661"/>
    <w:rsid w:val="0017574A"/>
    <w:rsid w:val="00175FAF"/>
    <w:rsid w:val="0017629B"/>
    <w:rsid w:val="0017740D"/>
    <w:rsid w:val="0017783F"/>
    <w:rsid w:val="001830C2"/>
    <w:rsid w:val="00183898"/>
    <w:rsid w:val="00183D0D"/>
    <w:rsid w:val="00183EAE"/>
    <w:rsid w:val="00190401"/>
    <w:rsid w:val="00190E0E"/>
    <w:rsid w:val="00194EF5"/>
    <w:rsid w:val="001968B3"/>
    <w:rsid w:val="00196A8C"/>
    <w:rsid w:val="00197118"/>
    <w:rsid w:val="00197718"/>
    <w:rsid w:val="001A0171"/>
    <w:rsid w:val="001A24F4"/>
    <w:rsid w:val="001A5762"/>
    <w:rsid w:val="001A6CA4"/>
    <w:rsid w:val="001B2DCF"/>
    <w:rsid w:val="001B323A"/>
    <w:rsid w:val="001B3525"/>
    <w:rsid w:val="001B48C0"/>
    <w:rsid w:val="001B5F0E"/>
    <w:rsid w:val="001B6711"/>
    <w:rsid w:val="001C40E8"/>
    <w:rsid w:val="001C6D35"/>
    <w:rsid w:val="001D0511"/>
    <w:rsid w:val="001D1FF0"/>
    <w:rsid w:val="001D3718"/>
    <w:rsid w:val="001D4279"/>
    <w:rsid w:val="001D48AD"/>
    <w:rsid w:val="001D4A86"/>
    <w:rsid w:val="001D52B4"/>
    <w:rsid w:val="001D6A7A"/>
    <w:rsid w:val="001D7F30"/>
    <w:rsid w:val="001E0F45"/>
    <w:rsid w:val="001E419A"/>
    <w:rsid w:val="001E5F2A"/>
    <w:rsid w:val="001F018C"/>
    <w:rsid w:val="001F73D6"/>
    <w:rsid w:val="002016D5"/>
    <w:rsid w:val="002035A0"/>
    <w:rsid w:val="00205F48"/>
    <w:rsid w:val="00206B48"/>
    <w:rsid w:val="00206CA4"/>
    <w:rsid w:val="002144DF"/>
    <w:rsid w:val="002144EB"/>
    <w:rsid w:val="002148C1"/>
    <w:rsid w:val="00222B47"/>
    <w:rsid w:val="00224534"/>
    <w:rsid w:val="002261C8"/>
    <w:rsid w:val="00227E24"/>
    <w:rsid w:val="00230637"/>
    <w:rsid w:val="00231622"/>
    <w:rsid w:val="00231F6A"/>
    <w:rsid w:val="00233400"/>
    <w:rsid w:val="002356E4"/>
    <w:rsid w:val="002357C5"/>
    <w:rsid w:val="002359C8"/>
    <w:rsid w:val="00235F92"/>
    <w:rsid w:val="002410AD"/>
    <w:rsid w:val="002411FD"/>
    <w:rsid w:val="00243844"/>
    <w:rsid w:val="002448AF"/>
    <w:rsid w:val="002506B3"/>
    <w:rsid w:val="00252534"/>
    <w:rsid w:val="00252584"/>
    <w:rsid w:val="00253479"/>
    <w:rsid w:val="00260023"/>
    <w:rsid w:val="00260F2B"/>
    <w:rsid w:val="0026156C"/>
    <w:rsid w:val="00266C0B"/>
    <w:rsid w:val="00267286"/>
    <w:rsid w:val="00267931"/>
    <w:rsid w:val="00267ED0"/>
    <w:rsid w:val="00272C96"/>
    <w:rsid w:val="002745BA"/>
    <w:rsid w:val="002759C9"/>
    <w:rsid w:val="00275D8A"/>
    <w:rsid w:val="00281BA4"/>
    <w:rsid w:val="00281E8D"/>
    <w:rsid w:val="00283087"/>
    <w:rsid w:val="00285836"/>
    <w:rsid w:val="00290435"/>
    <w:rsid w:val="002911E3"/>
    <w:rsid w:val="002920F7"/>
    <w:rsid w:val="002923A0"/>
    <w:rsid w:val="00292585"/>
    <w:rsid w:val="0029419D"/>
    <w:rsid w:val="00294AC8"/>
    <w:rsid w:val="002A57B2"/>
    <w:rsid w:val="002A5C16"/>
    <w:rsid w:val="002A5D11"/>
    <w:rsid w:val="002B0351"/>
    <w:rsid w:val="002B10B3"/>
    <w:rsid w:val="002B27C2"/>
    <w:rsid w:val="002B4154"/>
    <w:rsid w:val="002B4B6B"/>
    <w:rsid w:val="002B63EF"/>
    <w:rsid w:val="002B7B8F"/>
    <w:rsid w:val="002C2C5D"/>
    <w:rsid w:val="002C6578"/>
    <w:rsid w:val="002D1876"/>
    <w:rsid w:val="002D2A99"/>
    <w:rsid w:val="002D30F1"/>
    <w:rsid w:val="002D3669"/>
    <w:rsid w:val="002D54B9"/>
    <w:rsid w:val="002D7B62"/>
    <w:rsid w:val="002E0BB8"/>
    <w:rsid w:val="002E1C9C"/>
    <w:rsid w:val="002E61F6"/>
    <w:rsid w:val="002E73DE"/>
    <w:rsid w:val="002E781B"/>
    <w:rsid w:val="002F09A1"/>
    <w:rsid w:val="002F276C"/>
    <w:rsid w:val="002F59D5"/>
    <w:rsid w:val="002F63CF"/>
    <w:rsid w:val="002F7F8B"/>
    <w:rsid w:val="00305C97"/>
    <w:rsid w:val="003144F0"/>
    <w:rsid w:val="00317325"/>
    <w:rsid w:val="00321AB3"/>
    <w:rsid w:val="0032694A"/>
    <w:rsid w:val="00327937"/>
    <w:rsid w:val="003313CF"/>
    <w:rsid w:val="0033177F"/>
    <w:rsid w:val="00332CB8"/>
    <w:rsid w:val="00333280"/>
    <w:rsid w:val="00333323"/>
    <w:rsid w:val="00333750"/>
    <w:rsid w:val="00335BBE"/>
    <w:rsid w:val="00336553"/>
    <w:rsid w:val="00337210"/>
    <w:rsid w:val="003375B5"/>
    <w:rsid w:val="00341511"/>
    <w:rsid w:val="00341F0C"/>
    <w:rsid w:val="00343112"/>
    <w:rsid w:val="00343AE2"/>
    <w:rsid w:val="003459C2"/>
    <w:rsid w:val="00345A75"/>
    <w:rsid w:val="00346F4D"/>
    <w:rsid w:val="003548A2"/>
    <w:rsid w:val="00354F78"/>
    <w:rsid w:val="003570A5"/>
    <w:rsid w:val="00357AFE"/>
    <w:rsid w:val="00362EEB"/>
    <w:rsid w:val="00363545"/>
    <w:rsid w:val="0036377D"/>
    <w:rsid w:val="00363AB0"/>
    <w:rsid w:val="00363F97"/>
    <w:rsid w:val="00365B6B"/>
    <w:rsid w:val="00370FEC"/>
    <w:rsid w:val="003728AF"/>
    <w:rsid w:val="00374E16"/>
    <w:rsid w:val="00375C4B"/>
    <w:rsid w:val="003762F2"/>
    <w:rsid w:val="00376CD9"/>
    <w:rsid w:val="003774F7"/>
    <w:rsid w:val="00380151"/>
    <w:rsid w:val="00380C4F"/>
    <w:rsid w:val="00382620"/>
    <w:rsid w:val="00382B04"/>
    <w:rsid w:val="00384CB4"/>
    <w:rsid w:val="00384E4F"/>
    <w:rsid w:val="003851D2"/>
    <w:rsid w:val="00386E8B"/>
    <w:rsid w:val="0038719B"/>
    <w:rsid w:val="00392888"/>
    <w:rsid w:val="0039534E"/>
    <w:rsid w:val="0039593C"/>
    <w:rsid w:val="003968BD"/>
    <w:rsid w:val="00397198"/>
    <w:rsid w:val="003A0904"/>
    <w:rsid w:val="003A0B16"/>
    <w:rsid w:val="003A5ACA"/>
    <w:rsid w:val="003A6BF4"/>
    <w:rsid w:val="003B17DC"/>
    <w:rsid w:val="003B222B"/>
    <w:rsid w:val="003B46A1"/>
    <w:rsid w:val="003B4CE2"/>
    <w:rsid w:val="003B4D72"/>
    <w:rsid w:val="003B543C"/>
    <w:rsid w:val="003B5D3E"/>
    <w:rsid w:val="003B5EFF"/>
    <w:rsid w:val="003B76FE"/>
    <w:rsid w:val="003C1DCA"/>
    <w:rsid w:val="003C481D"/>
    <w:rsid w:val="003C4F1C"/>
    <w:rsid w:val="003C5737"/>
    <w:rsid w:val="003D45BF"/>
    <w:rsid w:val="003E0026"/>
    <w:rsid w:val="003E03FD"/>
    <w:rsid w:val="003E184A"/>
    <w:rsid w:val="003E258E"/>
    <w:rsid w:val="003E293B"/>
    <w:rsid w:val="003E2FD2"/>
    <w:rsid w:val="003E3ACD"/>
    <w:rsid w:val="003E7077"/>
    <w:rsid w:val="003E72CE"/>
    <w:rsid w:val="003F27F1"/>
    <w:rsid w:val="003F2BD5"/>
    <w:rsid w:val="003F3519"/>
    <w:rsid w:val="003F399E"/>
    <w:rsid w:val="003F3DFB"/>
    <w:rsid w:val="003F575C"/>
    <w:rsid w:val="00400184"/>
    <w:rsid w:val="00404E2D"/>
    <w:rsid w:val="00407F82"/>
    <w:rsid w:val="0041042C"/>
    <w:rsid w:val="00411BF7"/>
    <w:rsid w:val="00411E7F"/>
    <w:rsid w:val="0041260C"/>
    <w:rsid w:val="004150B2"/>
    <w:rsid w:val="0041601E"/>
    <w:rsid w:val="00416AD8"/>
    <w:rsid w:val="004212EA"/>
    <w:rsid w:val="00424FE1"/>
    <w:rsid w:val="004252A9"/>
    <w:rsid w:val="00426151"/>
    <w:rsid w:val="00426E08"/>
    <w:rsid w:val="00427D89"/>
    <w:rsid w:val="00430CFB"/>
    <w:rsid w:val="00431909"/>
    <w:rsid w:val="004349F6"/>
    <w:rsid w:val="00435AED"/>
    <w:rsid w:val="0043770B"/>
    <w:rsid w:val="0044327E"/>
    <w:rsid w:val="00443B06"/>
    <w:rsid w:val="00445724"/>
    <w:rsid w:val="00447168"/>
    <w:rsid w:val="00450061"/>
    <w:rsid w:val="00450E62"/>
    <w:rsid w:val="00452773"/>
    <w:rsid w:val="0045392C"/>
    <w:rsid w:val="0045440D"/>
    <w:rsid w:val="004545EB"/>
    <w:rsid w:val="0045596C"/>
    <w:rsid w:val="00455D35"/>
    <w:rsid w:val="004568D9"/>
    <w:rsid w:val="004608B0"/>
    <w:rsid w:val="004609D5"/>
    <w:rsid w:val="00462F12"/>
    <w:rsid w:val="00463D42"/>
    <w:rsid w:val="00466EBD"/>
    <w:rsid w:val="004804F0"/>
    <w:rsid w:val="0048196E"/>
    <w:rsid w:val="00481CBA"/>
    <w:rsid w:val="00484383"/>
    <w:rsid w:val="004855AC"/>
    <w:rsid w:val="00485E9C"/>
    <w:rsid w:val="00486A2A"/>
    <w:rsid w:val="00486DC4"/>
    <w:rsid w:val="00490501"/>
    <w:rsid w:val="004907CF"/>
    <w:rsid w:val="00491C2C"/>
    <w:rsid w:val="00492FFD"/>
    <w:rsid w:val="00493155"/>
    <w:rsid w:val="00493599"/>
    <w:rsid w:val="004A0C26"/>
    <w:rsid w:val="004A1EB5"/>
    <w:rsid w:val="004A2282"/>
    <w:rsid w:val="004A623A"/>
    <w:rsid w:val="004B01EA"/>
    <w:rsid w:val="004B3A07"/>
    <w:rsid w:val="004B3EF6"/>
    <w:rsid w:val="004B5A95"/>
    <w:rsid w:val="004B647B"/>
    <w:rsid w:val="004C12E9"/>
    <w:rsid w:val="004C2CD2"/>
    <w:rsid w:val="004C664A"/>
    <w:rsid w:val="004C7A00"/>
    <w:rsid w:val="004C7FCF"/>
    <w:rsid w:val="004D0565"/>
    <w:rsid w:val="004D09C1"/>
    <w:rsid w:val="004D0CC2"/>
    <w:rsid w:val="004D5B80"/>
    <w:rsid w:val="004E00B0"/>
    <w:rsid w:val="004E1EF7"/>
    <w:rsid w:val="004E41B1"/>
    <w:rsid w:val="004E5375"/>
    <w:rsid w:val="004E760E"/>
    <w:rsid w:val="004F2554"/>
    <w:rsid w:val="004F5434"/>
    <w:rsid w:val="004F5B5C"/>
    <w:rsid w:val="004F7E41"/>
    <w:rsid w:val="005038C8"/>
    <w:rsid w:val="005058E8"/>
    <w:rsid w:val="005078C7"/>
    <w:rsid w:val="005230FB"/>
    <w:rsid w:val="005238DD"/>
    <w:rsid w:val="00527274"/>
    <w:rsid w:val="00527516"/>
    <w:rsid w:val="00530BE4"/>
    <w:rsid w:val="00533A36"/>
    <w:rsid w:val="00533B6F"/>
    <w:rsid w:val="00534AF5"/>
    <w:rsid w:val="00534B4A"/>
    <w:rsid w:val="00540C15"/>
    <w:rsid w:val="00541775"/>
    <w:rsid w:val="005425BA"/>
    <w:rsid w:val="005434BE"/>
    <w:rsid w:val="00544BDD"/>
    <w:rsid w:val="0054540A"/>
    <w:rsid w:val="005455C5"/>
    <w:rsid w:val="005457B4"/>
    <w:rsid w:val="00546235"/>
    <w:rsid w:val="00547925"/>
    <w:rsid w:val="00547CE3"/>
    <w:rsid w:val="005549E6"/>
    <w:rsid w:val="00555A50"/>
    <w:rsid w:val="00557B38"/>
    <w:rsid w:val="00562427"/>
    <w:rsid w:val="0057015E"/>
    <w:rsid w:val="00572275"/>
    <w:rsid w:val="00574DA8"/>
    <w:rsid w:val="00575356"/>
    <w:rsid w:val="00575569"/>
    <w:rsid w:val="005760D1"/>
    <w:rsid w:val="005776C8"/>
    <w:rsid w:val="00577EE2"/>
    <w:rsid w:val="00580462"/>
    <w:rsid w:val="005816C8"/>
    <w:rsid w:val="00582372"/>
    <w:rsid w:val="00583FE9"/>
    <w:rsid w:val="00585088"/>
    <w:rsid w:val="005857D2"/>
    <w:rsid w:val="005864DD"/>
    <w:rsid w:val="00586775"/>
    <w:rsid w:val="00587F95"/>
    <w:rsid w:val="00591640"/>
    <w:rsid w:val="00591706"/>
    <w:rsid w:val="00591913"/>
    <w:rsid w:val="00591A67"/>
    <w:rsid w:val="00592776"/>
    <w:rsid w:val="00592CAA"/>
    <w:rsid w:val="005A0697"/>
    <w:rsid w:val="005A0DAB"/>
    <w:rsid w:val="005A7670"/>
    <w:rsid w:val="005B05B4"/>
    <w:rsid w:val="005B3827"/>
    <w:rsid w:val="005B5212"/>
    <w:rsid w:val="005B59BE"/>
    <w:rsid w:val="005B6070"/>
    <w:rsid w:val="005B7AD0"/>
    <w:rsid w:val="005C108A"/>
    <w:rsid w:val="005C426C"/>
    <w:rsid w:val="005C4C0D"/>
    <w:rsid w:val="005C5F87"/>
    <w:rsid w:val="005C68E4"/>
    <w:rsid w:val="005D1A74"/>
    <w:rsid w:val="005D242A"/>
    <w:rsid w:val="005D6A09"/>
    <w:rsid w:val="005E06E4"/>
    <w:rsid w:val="005E0BD4"/>
    <w:rsid w:val="005E1050"/>
    <w:rsid w:val="005E6901"/>
    <w:rsid w:val="005F0585"/>
    <w:rsid w:val="005F1492"/>
    <w:rsid w:val="005F1F35"/>
    <w:rsid w:val="005F24A1"/>
    <w:rsid w:val="005F2AE3"/>
    <w:rsid w:val="005F415B"/>
    <w:rsid w:val="005F45F2"/>
    <w:rsid w:val="005F4924"/>
    <w:rsid w:val="005F64B6"/>
    <w:rsid w:val="00602F6F"/>
    <w:rsid w:val="00605CCD"/>
    <w:rsid w:val="00606318"/>
    <w:rsid w:val="00607E5A"/>
    <w:rsid w:val="0061060E"/>
    <w:rsid w:val="006121BF"/>
    <w:rsid w:val="006171CF"/>
    <w:rsid w:val="0061725E"/>
    <w:rsid w:val="00617CD9"/>
    <w:rsid w:val="006204C9"/>
    <w:rsid w:val="006218AA"/>
    <w:rsid w:val="00622C17"/>
    <w:rsid w:val="00622E09"/>
    <w:rsid w:val="00627488"/>
    <w:rsid w:val="00632661"/>
    <w:rsid w:val="00632A76"/>
    <w:rsid w:val="006408A3"/>
    <w:rsid w:val="00641365"/>
    <w:rsid w:val="00641FF7"/>
    <w:rsid w:val="00642847"/>
    <w:rsid w:val="0064343A"/>
    <w:rsid w:val="00646676"/>
    <w:rsid w:val="0064723E"/>
    <w:rsid w:val="00651C45"/>
    <w:rsid w:val="00660C17"/>
    <w:rsid w:val="00663949"/>
    <w:rsid w:val="00666ABC"/>
    <w:rsid w:val="00666E8C"/>
    <w:rsid w:val="00670A86"/>
    <w:rsid w:val="00670E03"/>
    <w:rsid w:val="00671D91"/>
    <w:rsid w:val="00671E6C"/>
    <w:rsid w:val="00672B06"/>
    <w:rsid w:val="00674CEF"/>
    <w:rsid w:val="00675D25"/>
    <w:rsid w:val="0067657C"/>
    <w:rsid w:val="00681CE8"/>
    <w:rsid w:val="00683F62"/>
    <w:rsid w:val="006848D0"/>
    <w:rsid w:val="00686068"/>
    <w:rsid w:val="00687AC0"/>
    <w:rsid w:val="006922DF"/>
    <w:rsid w:val="006927AE"/>
    <w:rsid w:val="00692CD6"/>
    <w:rsid w:val="00697468"/>
    <w:rsid w:val="00697C55"/>
    <w:rsid w:val="00697D8D"/>
    <w:rsid w:val="006A021B"/>
    <w:rsid w:val="006A04C7"/>
    <w:rsid w:val="006A0FB8"/>
    <w:rsid w:val="006A1DD1"/>
    <w:rsid w:val="006B1141"/>
    <w:rsid w:val="006B11DA"/>
    <w:rsid w:val="006B3382"/>
    <w:rsid w:val="006B3B6D"/>
    <w:rsid w:val="006B414B"/>
    <w:rsid w:val="006C26F0"/>
    <w:rsid w:val="006C286D"/>
    <w:rsid w:val="006D093E"/>
    <w:rsid w:val="006D10BD"/>
    <w:rsid w:val="006D24AC"/>
    <w:rsid w:val="006D35C0"/>
    <w:rsid w:val="006D4922"/>
    <w:rsid w:val="006D586A"/>
    <w:rsid w:val="006D71B1"/>
    <w:rsid w:val="006E28DA"/>
    <w:rsid w:val="006E2977"/>
    <w:rsid w:val="006E58FF"/>
    <w:rsid w:val="006E6682"/>
    <w:rsid w:val="006E6D76"/>
    <w:rsid w:val="006F2651"/>
    <w:rsid w:val="006F4EBA"/>
    <w:rsid w:val="006F5D2F"/>
    <w:rsid w:val="007000C0"/>
    <w:rsid w:val="0070381E"/>
    <w:rsid w:val="00703BA0"/>
    <w:rsid w:val="007050C9"/>
    <w:rsid w:val="00705C4D"/>
    <w:rsid w:val="00706427"/>
    <w:rsid w:val="0070647F"/>
    <w:rsid w:val="007074FD"/>
    <w:rsid w:val="00711018"/>
    <w:rsid w:val="00711E42"/>
    <w:rsid w:val="00715775"/>
    <w:rsid w:val="0071579C"/>
    <w:rsid w:val="00716C75"/>
    <w:rsid w:val="00722BC1"/>
    <w:rsid w:val="007238FC"/>
    <w:rsid w:val="0072482A"/>
    <w:rsid w:val="0072702F"/>
    <w:rsid w:val="00730D94"/>
    <w:rsid w:val="00732551"/>
    <w:rsid w:val="00733AE1"/>
    <w:rsid w:val="007371D1"/>
    <w:rsid w:val="0075338C"/>
    <w:rsid w:val="0075536E"/>
    <w:rsid w:val="00760F85"/>
    <w:rsid w:val="007633F8"/>
    <w:rsid w:val="007636CD"/>
    <w:rsid w:val="00763D7F"/>
    <w:rsid w:val="007660E9"/>
    <w:rsid w:val="00767027"/>
    <w:rsid w:val="00767D38"/>
    <w:rsid w:val="00770E38"/>
    <w:rsid w:val="0077348C"/>
    <w:rsid w:val="00773511"/>
    <w:rsid w:val="0077381F"/>
    <w:rsid w:val="00773A30"/>
    <w:rsid w:val="007746A1"/>
    <w:rsid w:val="007757B0"/>
    <w:rsid w:val="0077624C"/>
    <w:rsid w:val="007768BF"/>
    <w:rsid w:val="0077738C"/>
    <w:rsid w:val="00780E22"/>
    <w:rsid w:val="00785242"/>
    <w:rsid w:val="00786F5A"/>
    <w:rsid w:val="007913AB"/>
    <w:rsid w:val="00797756"/>
    <w:rsid w:val="007A06C9"/>
    <w:rsid w:val="007A38BA"/>
    <w:rsid w:val="007A52FC"/>
    <w:rsid w:val="007A5859"/>
    <w:rsid w:val="007A69B3"/>
    <w:rsid w:val="007B040A"/>
    <w:rsid w:val="007B29AF"/>
    <w:rsid w:val="007B3AD0"/>
    <w:rsid w:val="007B4796"/>
    <w:rsid w:val="007B5B09"/>
    <w:rsid w:val="007C0328"/>
    <w:rsid w:val="007C229D"/>
    <w:rsid w:val="007C2A7A"/>
    <w:rsid w:val="007C3F54"/>
    <w:rsid w:val="007C4154"/>
    <w:rsid w:val="007C5A39"/>
    <w:rsid w:val="007C71E8"/>
    <w:rsid w:val="007D1295"/>
    <w:rsid w:val="007D14D2"/>
    <w:rsid w:val="007D17B1"/>
    <w:rsid w:val="007D2771"/>
    <w:rsid w:val="007D2871"/>
    <w:rsid w:val="007D3D1E"/>
    <w:rsid w:val="007D72C1"/>
    <w:rsid w:val="007D74E1"/>
    <w:rsid w:val="007E0035"/>
    <w:rsid w:val="007E0D72"/>
    <w:rsid w:val="007E3615"/>
    <w:rsid w:val="007E3E8C"/>
    <w:rsid w:val="007E4401"/>
    <w:rsid w:val="007E4685"/>
    <w:rsid w:val="007E7EE2"/>
    <w:rsid w:val="007F00D7"/>
    <w:rsid w:val="007F0786"/>
    <w:rsid w:val="007F546C"/>
    <w:rsid w:val="007F5C88"/>
    <w:rsid w:val="007F6685"/>
    <w:rsid w:val="007F68D8"/>
    <w:rsid w:val="007F6C7E"/>
    <w:rsid w:val="00801427"/>
    <w:rsid w:val="008018C8"/>
    <w:rsid w:val="008020AD"/>
    <w:rsid w:val="00806630"/>
    <w:rsid w:val="008114B4"/>
    <w:rsid w:val="00812C1B"/>
    <w:rsid w:val="008150C6"/>
    <w:rsid w:val="00815BAF"/>
    <w:rsid w:val="0081691C"/>
    <w:rsid w:val="00816C23"/>
    <w:rsid w:val="0082191A"/>
    <w:rsid w:val="00821E84"/>
    <w:rsid w:val="00823683"/>
    <w:rsid w:val="008263FA"/>
    <w:rsid w:val="00827851"/>
    <w:rsid w:val="0083002B"/>
    <w:rsid w:val="0083164D"/>
    <w:rsid w:val="0083263A"/>
    <w:rsid w:val="00832896"/>
    <w:rsid w:val="008341FF"/>
    <w:rsid w:val="008379D8"/>
    <w:rsid w:val="00840738"/>
    <w:rsid w:val="00840B51"/>
    <w:rsid w:val="00840E6A"/>
    <w:rsid w:val="00843C38"/>
    <w:rsid w:val="00844534"/>
    <w:rsid w:val="00844C4A"/>
    <w:rsid w:val="00845478"/>
    <w:rsid w:val="00852761"/>
    <w:rsid w:val="008530BF"/>
    <w:rsid w:val="00855294"/>
    <w:rsid w:val="00857BC4"/>
    <w:rsid w:val="008623B6"/>
    <w:rsid w:val="00864301"/>
    <w:rsid w:val="00865A71"/>
    <w:rsid w:val="008703EC"/>
    <w:rsid w:val="0087180C"/>
    <w:rsid w:val="008724AF"/>
    <w:rsid w:val="00872568"/>
    <w:rsid w:val="00873E8C"/>
    <w:rsid w:val="00874ED5"/>
    <w:rsid w:val="00874F8C"/>
    <w:rsid w:val="00877C63"/>
    <w:rsid w:val="0088017E"/>
    <w:rsid w:val="008802F0"/>
    <w:rsid w:val="00882820"/>
    <w:rsid w:val="00884BDA"/>
    <w:rsid w:val="00891E46"/>
    <w:rsid w:val="00891E8F"/>
    <w:rsid w:val="008927B0"/>
    <w:rsid w:val="00892CC5"/>
    <w:rsid w:val="00892DD7"/>
    <w:rsid w:val="00894AEF"/>
    <w:rsid w:val="0089565B"/>
    <w:rsid w:val="00895B07"/>
    <w:rsid w:val="00896A47"/>
    <w:rsid w:val="008971BA"/>
    <w:rsid w:val="008A0C8C"/>
    <w:rsid w:val="008A18E2"/>
    <w:rsid w:val="008A1AC4"/>
    <w:rsid w:val="008A410B"/>
    <w:rsid w:val="008A454F"/>
    <w:rsid w:val="008A4CA6"/>
    <w:rsid w:val="008A560D"/>
    <w:rsid w:val="008A6173"/>
    <w:rsid w:val="008A7218"/>
    <w:rsid w:val="008B0A7E"/>
    <w:rsid w:val="008B32BB"/>
    <w:rsid w:val="008B6E13"/>
    <w:rsid w:val="008B77EA"/>
    <w:rsid w:val="008C2B69"/>
    <w:rsid w:val="008C41E3"/>
    <w:rsid w:val="008C46BF"/>
    <w:rsid w:val="008C4D55"/>
    <w:rsid w:val="008D3218"/>
    <w:rsid w:val="008D4642"/>
    <w:rsid w:val="008D5488"/>
    <w:rsid w:val="008D5E74"/>
    <w:rsid w:val="008D6218"/>
    <w:rsid w:val="008D7A4D"/>
    <w:rsid w:val="008D7CAA"/>
    <w:rsid w:val="008E0A40"/>
    <w:rsid w:val="008E16FE"/>
    <w:rsid w:val="008E1AD6"/>
    <w:rsid w:val="008E2E63"/>
    <w:rsid w:val="008E36B0"/>
    <w:rsid w:val="008E67C9"/>
    <w:rsid w:val="008E79D9"/>
    <w:rsid w:val="008F18D6"/>
    <w:rsid w:val="008F2856"/>
    <w:rsid w:val="008F4A37"/>
    <w:rsid w:val="008F6DE6"/>
    <w:rsid w:val="008F6E35"/>
    <w:rsid w:val="00900F68"/>
    <w:rsid w:val="00904BA8"/>
    <w:rsid w:val="00907825"/>
    <w:rsid w:val="00907A7F"/>
    <w:rsid w:val="0091000E"/>
    <w:rsid w:val="0091029C"/>
    <w:rsid w:val="0091082E"/>
    <w:rsid w:val="00912043"/>
    <w:rsid w:val="009134A8"/>
    <w:rsid w:val="00914DF2"/>
    <w:rsid w:val="00917855"/>
    <w:rsid w:val="009246C4"/>
    <w:rsid w:val="00927A61"/>
    <w:rsid w:val="009306A5"/>
    <w:rsid w:val="009312D5"/>
    <w:rsid w:val="00931D76"/>
    <w:rsid w:val="009333F8"/>
    <w:rsid w:val="0093679A"/>
    <w:rsid w:val="00940906"/>
    <w:rsid w:val="009428CC"/>
    <w:rsid w:val="0094492D"/>
    <w:rsid w:val="00944E4F"/>
    <w:rsid w:val="00947548"/>
    <w:rsid w:val="0095078E"/>
    <w:rsid w:val="00954C24"/>
    <w:rsid w:val="009551FF"/>
    <w:rsid w:val="00957E49"/>
    <w:rsid w:val="009606DD"/>
    <w:rsid w:val="00960737"/>
    <w:rsid w:val="0096105D"/>
    <w:rsid w:val="00961961"/>
    <w:rsid w:val="009626BC"/>
    <w:rsid w:val="00967E28"/>
    <w:rsid w:val="0097069C"/>
    <w:rsid w:val="00974179"/>
    <w:rsid w:val="00982B14"/>
    <w:rsid w:val="009839B0"/>
    <w:rsid w:val="00984B03"/>
    <w:rsid w:val="00984F27"/>
    <w:rsid w:val="0098540B"/>
    <w:rsid w:val="009854A4"/>
    <w:rsid w:val="00985FA9"/>
    <w:rsid w:val="00993316"/>
    <w:rsid w:val="009939DF"/>
    <w:rsid w:val="00994B07"/>
    <w:rsid w:val="009A130E"/>
    <w:rsid w:val="009A2D84"/>
    <w:rsid w:val="009A3781"/>
    <w:rsid w:val="009A4849"/>
    <w:rsid w:val="009A4855"/>
    <w:rsid w:val="009A7918"/>
    <w:rsid w:val="009B29EE"/>
    <w:rsid w:val="009B5462"/>
    <w:rsid w:val="009B5F36"/>
    <w:rsid w:val="009B6B2D"/>
    <w:rsid w:val="009B78FC"/>
    <w:rsid w:val="009B7BA9"/>
    <w:rsid w:val="009C378A"/>
    <w:rsid w:val="009C4B0C"/>
    <w:rsid w:val="009C578E"/>
    <w:rsid w:val="009C76F9"/>
    <w:rsid w:val="009C7899"/>
    <w:rsid w:val="009C7981"/>
    <w:rsid w:val="009D0BA7"/>
    <w:rsid w:val="009D1451"/>
    <w:rsid w:val="009D356E"/>
    <w:rsid w:val="009D6325"/>
    <w:rsid w:val="009D7C80"/>
    <w:rsid w:val="009E002B"/>
    <w:rsid w:val="009E0717"/>
    <w:rsid w:val="009E26DF"/>
    <w:rsid w:val="009E2B93"/>
    <w:rsid w:val="009E422C"/>
    <w:rsid w:val="009E561F"/>
    <w:rsid w:val="009E6442"/>
    <w:rsid w:val="009F0474"/>
    <w:rsid w:val="009F1F86"/>
    <w:rsid w:val="009F6EBA"/>
    <w:rsid w:val="00A00A76"/>
    <w:rsid w:val="00A02401"/>
    <w:rsid w:val="00A03715"/>
    <w:rsid w:val="00A061F1"/>
    <w:rsid w:val="00A0645A"/>
    <w:rsid w:val="00A06C24"/>
    <w:rsid w:val="00A07B85"/>
    <w:rsid w:val="00A1090D"/>
    <w:rsid w:val="00A12439"/>
    <w:rsid w:val="00A127FB"/>
    <w:rsid w:val="00A1799E"/>
    <w:rsid w:val="00A17A36"/>
    <w:rsid w:val="00A17A6B"/>
    <w:rsid w:val="00A21C8A"/>
    <w:rsid w:val="00A225DB"/>
    <w:rsid w:val="00A24CA2"/>
    <w:rsid w:val="00A24E0D"/>
    <w:rsid w:val="00A252AA"/>
    <w:rsid w:val="00A30032"/>
    <w:rsid w:val="00A36F45"/>
    <w:rsid w:val="00A40645"/>
    <w:rsid w:val="00A40BB3"/>
    <w:rsid w:val="00A40F52"/>
    <w:rsid w:val="00A42135"/>
    <w:rsid w:val="00A423E8"/>
    <w:rsid w:val="00A42B23"/>
    <w:rsid w:val="00A43517"/>
    <w:rsid w:val="00A4354E"/>
    <w:rsid w:val="00A43604"/>
    <w:rsid w:val="00A456EA"/>
    <w:rsid w:val="00A50B72"/>
    <w:rsid w:val="00A524A4"/>
    <w:rsid w:val="00A530E4"/>
    <w:rsid w:val="00A54297"/>
    <w:rsid w:val="00A54E4D"/>
    <w:rsid w:val="00A57812"/>
    <w:rsid w:val="00A578A4"/>
    <w:rsid w:val="00A6120B"/>
    <w:rsid w:val="00A6153D"/>
    <w:rsid w:val="00A62431"/>
    <w:rsid w:val="00A62BD2"/>
    <w:rsid w:val="00A65BBA"/>
    <w:rsid w:val="00A66855"/>
    <w:rsid w:val="00A67424"/>
    <w:rsid w:val="00A72D1F"/>
    <w:rsid w:val="00A72D9B"/>
    <w:rsid w:val="00A76FBC"/>
    <w:rsid w:val="00A77516"/>
    <w:rsid w:val="00A8313A"/>
    <w:rsid w:val="00A839F9"/>
    <w:rsid w:val="00A83AFE"/>
    <w:rsid w:val="00A8743A"/>
    <w:rsid w:val="00A8763A"/>
    <w:rsid w:val="00A910D7"/>
    <w:rsid w:val="00A91F9C"/>
    <w:rsid w:val="00A9471C"/>
    <w:rsid w:val="00A960DB"/>
    <w:rsid w:val="00A967C6"/>
    <w:rsid w:val="00A9702F"/>
    <w:rsid w:val="00A97EEC"/>
    <w:rsid w:val="00AA0E51"/>
    <w:rsid w:val="00AA166C"/>
    <w:rsid w:val="00AA30FC"/>
    <w:rsid w:val="00AA35B1"/>
    <w:rsid w:val="00AA3718"/>
    <w:rsid w:val="00AA577A"/>
    <w:rsid w:val="00AB01B2"/>
    <w:rsid w:val="00AB09A9"/>
    <w:rsid w:val="00AB1DB7"/>
    <w:rsid w:val="00AB221B"/>
    <w:rsid w:val="00AB55F8"/>
    <w:rsid w:val="00AB5F06"/>
    <w:rsid w:val="00AB7CA6"/>
    <w:rsid w:val="00AC0DCF"/>
    <w:rsid w:val="00AC3A55"/>
    <w:rsid w:val="00AC3BD7"/>
    <w:rsid w:val="00AC4B1D"/>
    <w:rsid w:val="00AC5579"/>
    <w:rsid w:val="00AC5FCB"/>
    <w:rsid w:val="00AC6AC4"/>
    <w:rsid w:val="00AC7384"/>
    <w:rsid w:val="00AD17E3"/>
    <w:rsid w:val="00AD661F"/>
    <w:rsid w:val="00AE0349"/>
    <w:rsid w:val="00AE2639"/>
    <w:rsid w:val="00AE302D"/>
    <w:rsid w:val="00AE66D6"/>
    <w:rsid w:val="00AF14E7"/>
    <w:rsid w:val="00AF1C89"/>
    <w:rsid w:val="00AF6FCE"/>
    <w:rsid w:val="00AF7D77"/>
    <w:rsid w:val="00AF7DB8"/>
    <w:rsid w:val="00B011C1"/>
    <w:rsid w:val="00B01E1F"/>
    <w:rsid w:val="00B07D5C"/>
    <w:rsid w:val="00B10799"/>
    <w:rsid w:val="00B11AF7"/>
    <w:rsid w:val="00B1279D"/>
    <w:rsid w:val="00B13558"/>
    <w:rsid w:val="00B13D23"/>
    <w:rsid w:val="00B163BB"/>
    <w:rsid w:val="00B168F6"/>
    <w:rsid w:val="00B2044E"/>
    <w:rsid w:val="00B20485"/>
    <w:rsid w:val="00B212DA"/>
    <w:rsid w:val="00B22740"/>
    <w:rsid w:val="00B24D09"/>
    <w:rsid w:val="00B250C7"/>
    <w:rsid w:val="00B26D36"/>
    <w:rsid w:val="00B27975"/>
    <w:rsid w:val="00B306F6"/>
    <w:rsid w:val="00B3193E"/>
    <w:rsid w:val="00B31DE8"/>
    <w:rsid w:val="00B32EBA"/>
    <w:rsid w:val="00B4125E"/>
    <w:rsid w:val="00B4189B"/>
    <w:rsid w:val="00B42645"/>
    <w:rsid w:val="00B43522"/>
    <w:rsid w:val="00B515A6"/>
    <w:rsid w:val="00B516AC"/>
    <w:rsid w:val="00B530EC"/>
    <w:rsid w:val="00B5384C"/>
    <w:rsid w:val="00B53FEA"/>
    <w:rsid w:val="00B54C6A"/>
    <w:rsid w:val="00B54D89"/>
    <w:rsid w:val="00B556BB"/>
    <w:rsid w:val="00B5717F"/>
    <w:rsid w:val="00B62A33"/>
    <w:rsid w:val="00B640E2"/>
    <w:rsid w:val="00B64B19"/>
    <w:rsid w:val="00B652C1"/>
    <w:rsid w:val="00B72B3C"/>
    <w:rsid w:val="00B76473"/>
    <w:rsid w:val="00B76855"/>
    <w:rsid w:val="00B83D9A"/>
    <w:rsid w:val="00B84B65"/>
    <w:rsid w:val="00B84CF5"/>
    <w:rsid w:val="00B8698B"/>
    <w:rsid w:val="00B87B0B"/>
    <w:rsid w:val="00B87B2C"/>
    <w:rsid w:val="00B911E8"/>
    <w:rsid w:val="00B930ED"/>
    <w:rsid w:val="00B94322"/>
    <w:rsid w:val="00B95F4E"/>
    <w:rsid w:val="00B96BA3"/>
    <w:rsid w:val="00B96F92"/>
    <w:rsid w:val="00B97D93"/>
    <w:rsid w:val="00BA0571"/>
    <w:rsid w:val="00BA0CF5"/>
    <w:rsid w:val="00BB0ECC"/>
    <w:rsid w:val="00BB5D9B"/>
    <w:rsid w:val="00BB653E"/>
    <w:rsid w:val="00BC15BB"/>
    <w:rsid w:val="00BC22FA"/>
    <w:rsid w:val="00BC236B"/>
    <w:rsid w:val="00BC2974"/>
    <w:rsid w:val="00BC4B7D"/>
    <w:rsid w:val="00BC5A21"/>
    <w:rsid w:val="00BC7AAA"/>
    <w:rsid w:val="00BD0ED9"/>
    <w:rsid w:val="00BD2511"/>
    <w:rsid w:val="00BD57D4"/>
    <w:rsid w:val="00BD67DD"/>
    <w:rsid w:val="00BD7640"/>
    <w:rsid w:val="00BD7C6B"/>
    <w:rsid w:val="00BE20B2"/>
    <w:rsid w:val="00BE423E"/>
    <w:rsid w:val="00BE50BA"/>
    <w:rsid w:val="00BE55FA"/>
    <w:rsid w:val="00BE5BA7"/>
    <w:rsid w:val="00BF114B"/>
    <w:rsid w:val="00BF3758"/>
    <w:rsid w:val="00BF3930"/>
    <w:rsid w:val="00BF3C27"/>
    <w:rsid w:val="00BF7EB5"/>
    <w:rsid w:val="00C009E6"/>
    <w:rsid w:val="00C00FD5"/>
    <w:rsid w:val="00C02CA3"/>
    <w:rsid w:val="00C03F66"/>
    <w:rsid w:val="00C0422B"/>
    <w:rsid w:val="00C050F6"/>
    <w:rsid w:val="00C05C8E"/>
    <w:rsid w:val="00C06DF0"/>
    <w:rsid w:val="00C11CC4"/>
    <w:rsid w:val="00C125AB"/>
    <w:rsid w:val="00C1352C"/>
    <w:rsid w:val="00C13A1E"/>
    <w:rsid w:val="00C16061"/>
    <w:rsid w:val="00C1612E"/>
    <w:rsid w:val="00C16269"/>
    <w:rsid w:val="00C20250"/>
    <w:rsid w:val="00C2339D"/>
    <w:rsid w:val="00C251C5"/>
    <w:rsid w:val="00C25C6C"/>
    <w:rsid w:val="00C30AB6"/>
    <w:rsid w:val="00C32027"/>
    <w:rsid w:val="00C33090"/>
    <w:rsid w:val="00C33376"/>
    <w:rsid w:val="00C35E16"/>
    <w:rsid w:val="00C35FA9"/>
    <w:rsid w:val="00C41CC3"/>
    <w:rsid w:val="00C4246B"/>
    <w:rsid w:val="00C43677"/>
    <w:rsid w:val="00C465A2"/>
    <w:rsid w:val="00C4720F"/>
    <w:rsid w:val="00C50E0C"/>
    <w:rsid w:val="00C52E29"/>
    <w:rsid w:val="00C539F2"/>
    <w:rsid w:val="00C53DFF"/>
    <w:rsid w:val="00C54398"/>
    <w:rsid w:val="00C54A58"/>
    <w:rsid w:val="00C5546E"/>
    <w:rsid w:val="00C56731"/>
    <w:rsid w:val="00C579E6"/>
    <w:rsid w:val="00C63488"/>
    <w:rsid w:val="00C666C5"/>
    <w:rsid w:val="00C7031C"/>
    <w:rsid w:val="00C70AA3"/>
    <w:rsid w:val="00C73B8C"/>
    <w:rsid w:val="00C74792"/>
    <w:rsid w:val="00C75058"/>
    <w:rsid w:val="00C75E9F"/>
    <w:rsid w:val="00C7631B"/>
    <w:rsid w:val="00C77377"/>
    <w:rsid w:val="00C77C9B"/>
    <w:rsid w:val="00C80852"/>
    <w:rsid w:val="00C819FA"/>
    <w:rsid w:val="00C82A01"/>
    <w:rsid w:val="00C84A17"/>
    <w:rsid w:val="00C84ED0"/>
    <w:rsid w:val="00C85622"/>
    <w:rsid w:val="00C860BF"/>
    <w:rsid w:val="00C86F06"/>
    <w:rsid w:val="00C90FB5"/>
    <w:rsid w:val="00C91996"/>
    <w:rsid w:val="00C92D20"/>
    <w:rsid w:val="00C936F8"/>
    <w:rsid w:val="00C93CEF"/>
    <w:rsid w:val="00C95126"/>
    <w:rsid w:val="00C95392"/>
    <w:rsid w:val="00C9595A"/>
    <w:rsid w:val="00C95F42"/>
    <w:rsid w:val="00C96E5E"/>
    <w:rsid w:val="00C97A22"/>
    <w:rsid w:val="00CA29C8"/>
    <w:rsid w:val="00CA327B"/>
    <w:rsid w:val="00CA4FA7"/>
    <w:rsid w:val="00CA6BD7"/>
    <w:rsid w:val="00CB145F"/>
    <w:rsid w:val="00CB25E4"/>
    <w:rsid w:val="00CB339E"/>
    <w:rsid w:val="00CB3DE3"/>
    <w:rsid w:val="00CB44DA"/>
    <w:rsid w:val="00CB4607"/>
    <w:rsid w:val="00CB5A98"/>
    <w:rsid w:val="00CB6B26"/>
    <w:rsid w:val="00CB71C0"/>
    <w:rsid w:val="00CC47B6"/>
    <w:rsid w:val="00CD115A"/>
    <w:rsid w:val="00CD53F4"/>
    <w:rsid w:val="00CD713E"/>
    <w:rsid w:val="00CE28DD"/>
    <w:rsid w:val="00CE2D9E"/>
    <w:rsid w:val="00CE4488"/>
    <w:rsid w:val="00CE5EDF"/>
    <w:rsid w:val="00CE647D"/>
    <w:rsid w:val="00CE669E"/>
    <w:rsid w:val="00CE78B0"/>
    <w:rsid w:val="00CF0DA6"/>
    <w:rsid w:val="00CF127D"/>
    <w:rsid w:val="00CF28C3"/>
    <w:rsid w:val="00CF2F06"/>
    <w:rsid w:val="00CF6F9B"/>
    <w:rsid w:val="00CF7CD7"/>
    <w:rsid w:val="00CF7E03"/>
    <w:rsid w:val="00D05634"/>
    <w:rsid w:val="00D05B03"/>
    <w:rsid w:val="00D069F4"/>
    <w:rsid w:val="00D0731A"/>
    <w:rsid w:val="00D07DD3"/>
    <w:rsid w:val="00D11BAB"/>
    <w:rsid w:val="00D12113"/>
    <w:rsid w:val="00D132A6"/>
    <w:rsid w:val="00D142DA"/>
    <w:rsid w:val="00D157BA"/>
    <w:rsid w:val="00D16223"/>
    <w:rsid w:val="00D227A2"/>
    <w:rsid w:val="00D23024"/>
    <w:rsid w:val="00D23AC3"/>
    <w:rsid w:val="00D23D7B"/>
    <w:rsid w:val="00D244BE"/>
    <w:rsid w:val="00D24A90"/>
    <w:rsid w:val="00D2658F"/>
    <w:rsid w:val="00D3090A"/>
    <w:rsid w:val="00D33695"/>
    <w:rsid w:val="00D407B4"/>
    <w:rsid w:val="00D41D34"/>
    <w:rsid w:val="00D4344E"/>
    <w:rsid w:val="00D438C2"/>
    <w:rsid w:val="00D4431A"/>
    <w:rsid w:val="00D456F2"/>
    <w:rsid w:val="00D501EF"/>
    <w:rsid w:val="00D51F3F"/>
    <w:rsid w:val="00D5232B"/>
    <w:rsid w:val="00D53948"/>
    <w:rsid w:val="00D5414F"/>
    <w:rsid w:val="00D55268"/>
    <w:rsid w:val="00D5574C"/>
    <w:rsid w:val="00D60C07"/>
    <w:rsid w:val="00D61BEC"/>
    <w:rsid w:val="00D65A26"/>
    <w:rsid w:val="00D669DC"/>
    <w:rsid w:val="00D67678"/>
    <w:rsid w:val="00D715C6"/>
    <w:rsid w:val="00D72A35"/>
    <w:rsid w:val="00D72FC5"/>
    <w:rsid w:val="00D735DF"/>
    <w:rsid w:val="00D74ADF"/>
    <w:rsid w:val="00D76B00"/>
    <w:rsid w:val="00D76D9B"/>
    <w:rsid w:val="00D76EBF"/>
    <w:rsid w:val="00D77DDC"/>
    <w:rsid w:val="00D80045"/>
    <w:rsid w:val="00D8509F"/>
    <w:rsid w:val="00D87CB9"/>
    <w:rsid w:val="00D914D7"/>
    <w:rsid w:val="00D91FE7"/>
    <w:rsid w:val="00D93B10"/>
    <w:rsid w:val="00D94ED7"/>
    <w:rsid w:val="00D9577C"/>
    <w:rsid w:val="00D965C2"/>
    <w:rsid w:val="00D96D46"/>
    <w:rsid w:val="00DA1678"/>
    <w:rsid w:val="00DA1B2D"/>
    <w:rsid w:val="00DA1ECE"/>
    <w:rsid w:val="00DA27B9"/>
    <w:rsid w:val="00DA3763"/>
    <w:rsid w:val="00DA461A"/>
    <w:rsid w:val="00DA5418"/>
    <w:rsid w:val="00DA7286"/>
    <w:rsid w:val="00DA7616"/>
    <w:rsid w:val="00DA7680"/>
    <w:rsid w:val="00DB2726"/>
    <w:rsid w:val="00DB315F"/>
    <w:rsid w:val="00DB3333"/>
    <w:rsid w:val="00DB3837"/>
    <w:rsid w:val="00DB46CF"/>
    <w:rsid w:val="00DB7F57"/>
    <w:rsid w:val="00DC1B5B"/>
    <w:rsid w:val="00DC4D49"/>
    <w:rsid w:val="00DC5337"/>
    <w:rsid w:val="00DC5744"/>
    <w:rsid w:val="00DD0133"/>
    <w:rsid w:val="00DE1DBA"/>
    <w:rsid w:val="00DE2785"/>
    <w:rsid w:val="00DE2F6C"/>
    <w:rsid w:val="00DE52B5"/>
    <w:rsid w:val="00DE71FE"/>
    <w:rsid w:val="00DF13FE"/>
    <w:rsid w:val="00DF2552"/>
    <w:rsid w:val="00DF289D"/>
    <w:rsid w:val="00DF2D10"/>
    <w:rsid w:val="00DF4AFE"/>
    <w:rsid w:val="00DF7769"/>
    <w:rsid w:val="00E01584"/>
    <w:rsid w:val="00E02C2B"/>
    <w:rsid w:val="00E03E1B"/>
    <w:rsid w:val="00E049F8"/>
    <w:rsid w:val="00E04A5D"/>
    <w:rsid w:val="00E052F9"/>
    <w:rsid w:val="00E05F4C"/>
    <w:rsid w:val="00E060B4"/>
    <w:rsid w:val="00E06277"/>
    <w:rsid w:val="00E07929"/>
    <w:rsid w:val="00E120DF"/>
    <w:rsid w:val="00E12918"/>
    <w:rsid w:val="00E12A53"/>
    <w:rsid w:val="00E12B25"/>
    <w:rsid w:val="00E14214"/>
    <w:rsid w:val="00E1530E"/>
    <w:rsid w:val="00E2085B"/>
    <w:rsid w:val="00E25288"/>
    <w:rsid w:val="00E26CD4"/>
    <w:rsid w:val="00E270CF"/>
    <w:rsid w:val="00E31889"/>
    <w:rsid w:val="00E31CB7"/>
    <w:rsid w:val="00E33019"/>
    <w:rsid w:val="00E342DD"/>
    <w:rsid w:val="00E3457A"/>
    <w:rsid w:val="00E34FCB"/>
    <w:rsid w:val="00E350D3"/>
    <w:rsid w:val="00E35FF6"/>
    <w:rsid w:val="00E36F85"/>
    <w:rsid w:val="00E41773"/>
    <w:rsid w:val="00E41868"/>
    <w:rsid w:val="00E43237"/>
    <w:rsid w:val="00E43D08"/>
    <w:rsid w:val="00E452D3"/>
    <w:rsid w:val="00E51C11"/>
    <w:rsid w:val="00E51FFC"/>
    <w:rsid w:val="00E53029"/>
    <w:rsid w:val="00E5643C"/>
    <w:rsid w:val="00E565F9"/>
    <w:rsid w:val="00E56938"/>
    <w:rsid w:val="00E56EC6"/>
    <w:rsid w:val="00E57426"/>
    <w:rsid w:val="00E57C81"/>
    <w:rsid w:val="00E64EF1"/>
    <w:rsid w:val="00E6509B"/>
    <w:rsid w:val="00E72C3F"/>
    <w:rsid w:val="00E72FCD"/>
    <w:rsid w:val="00E73129"/>
    <w:rsid w:val="00E76394"/>
    <w:rsid w:val="00E77593"/>
    <w:rsid w:val="00E81AE1"/>
    <w:rsid w:val="00E82453"/>
    <w:rsid w:val="00E835CC"/>
    <w:rsid w:val="00E83DB2"/>
    <w:rsid w:val="00E83EEF"/>
    <w:rsid w:val="00E865C3"/>
    <w:rsid w:val="00E910D6"/>
    <w:rsid w:val="00E94E2A"/>
    <w:rsid w:val="00E95363"/>
    <w:rsid w:val="00E97144"/>
    <w:rsid w:val="00E97CF2"/>
    <w:rsid w:val="00EA041A"/>
    <w:rsid w:val="00EA0963"/>
    <w:rsid w:val="00EA0EA5"/>
    <w:rsid w:val="00EA16C0"/>
    <w:rsid w:val="00EA2F1F"/>
    <w:rsid w:val="00EA46B2"/>
    <w:rsid w:val="00EA6527"/>
    <w:rsid w:val="00EB0BEB"/>
    <w:rsid w:val="00EB10B1"/>
    <w:rsid w:val="00EB2280"/>
    <w:rsid w:val="00EB2670"/>
    <w:rsid w:val="00EB48BE"/>
    <w:rsid w:val="00EB5389"/>
    <w:rsid w:val="00EC085E"/>
    <w:rsid w:val="00EC1102"/>
    <w:rsid w:val="00EC30BF"/>
    <w:rsid w:val="00EC42AC"/>
    <w:rsid w:val="00EC45DA"/>
    <w:rsid w:val="00ED2C7E"/>
    <w:rsid w:val="00ED4991"/>
    <w:rsid w:val="00ED4E25"/>
    <w:rsid w:val="00ED78E9"/>
    <w:rsid w:val="00EE492A"/>
    <w:rsid w:val="00EE5DDA"/>
    <w:rsid w:val="00EE788B"/>
    <w:rsid w:val="00EF1E27"/>
    <w:rsid w:val="00EF27F4"/>
    <w:rsid w:val="00EF4644"/>
    <w:rsid w:val="00EF60FC"/>
    <w:rsid w:val="00EF6B21"/>
    <w:rsid w:val="00EF7920"/>
    <w:rsid w:val="00F015DE"/>
    <w:rsid w:val="00F0189F"/>
    <w:rsid w:val="00F031BC"/>
    <w:rsid w:val="00F03329"/>
    <w:rsid w:val="00F065FD"/>
    <w:rsid w:val="00F06FD9"/>
    <w:rsid w:val="00F101E1"/>
    <w:rsid w:val="00F117E0"/>
    <w:rsid w:val="00F12356"/>
    <w:rsid w:val="00F128B5"/>
    <w:rsid w:val="00F16469"/>
    <w:rsid w:val="00F17794"/>
    <w:rsid w:val="00F179FC"/>
    <w:rsid w:val="00F209AA"/>
    <w:rsid w:val="00F216A2"/>
    <w:rsid w:val="00F21AE3"/>
    <w:rsid w:val="00F21EBB"/>
    <w:rsid w:val="00F22A48"/>
    <w:rsid w:val="00F244B2"/>
    <w:rsid w:val="00F25BD0"/>
    <w:rsid w:val="00F27FF0"/>
    <w:rsid w:val="00F30F22"/>
    <w:rsid w:val="00F31125"/>
    <w:rsid w:val="00F32267"/>
    <w:rsid w:val="00F323C8"/>
    <w:rsid w:val="00F32D59"/>
    <w:rsid w:val="00F33EDF"/>
    <w:rsid w:val="00F34F4C"/>
    <w:rsid w:val="00F36A0F"/>
    <w:rsid w:val="00F36D18"/>
    <w:rsid w:val="00F40C49"/>
    <w:rsid w:val="00F420E2"/>
    <w:rsid w:val="00F428CD"/>
    <w:rsid w:val="00F43878"/>
    <w:rsid w:val="00F44B44"/>
    <w:rsid w:val="00F44FAA"/>
    <w:rsid w:val="00F46661"/>
    <w:rsid w:val="00F471FB"/>
    <w:rsid w:val="00F476BD"/>
    <w:rsid w:val="00F50130"/>
    <w:rsid w:val="00F5175F"/>
    <w:rsid w:val="00F51BAF"/>
    <w:rsid w:val="00F530AF"/>
    <w:rsid w:val="00F5346A"/>
    <w:rsid w:val="00F54506"/>
    <w:rsid w:val="00F56C3A"/>
    <w:rsid w:val="00F57F25"/>
    <w:rsid w:val="00F60A20"/>
    <w:rsid w:val="00F60AC6"/>
    <w:rsid w:val="00F668E2"/>
    <w:rsid w:val="00F76007"/>
    <w:rsid w:val="00F7609C"/>
    <w:rsid w:val="00F76ACB"/>
    <w:rsid w:val="00F82264"/>
    <w:rsid w:val="00F8637F"/>
    <w:rsid w:val="00F87B4D"/>
    <w:rsid w:val="00F90910"/>
    <w:rsid w:val="00F92E6D"/>
    <w:rsid w:val="00F933FB"/>
    <w:rsid w:val="00F950CE"/>
    <w:rsid w:val="00F9542E"/>
    <w:rsid w:val="00FA363D"/>
    <w:rsid w:val="00FA3EE9"/>
    <w:rsid w:val="00FA6842"/>
    <w:rsid w:val="00FB0188"/>
    <w:rsid w:val="00FB2333"/>
    <w:rsid w:val="00FB5A66"/>
    <w:rsid w:val="00FB6F12"/>
    <w:rsid w:val="00FB73F7"/>
    <w:rsid w:val="00FB76EA"/>
    <w:rsid w:val="00FC0BE3"/>
    <w:rsid w:val="00FC14FB"/>
    <w:rsid w:val="00FC4490"/>
    <w:rsid w:val="00FC4610"/>
    <w:rsid w:val="00FC5AB3"/>
    <w:rsid w:val="00FC6133"/>
    <w:rsid w:val="00FC6144"/>
    <w:rsid w:val="00FC6667"/>
    <w:rsid w:val="00FC76F6"/>
    <w:rsid w:val="00FC7EB4"/>
    <w:rsid w:val="00FD2C45"/>
    <w:rsid w:val="00FD3D38"/>
    <w:rsid w:val="00FD7E16"/>
    <w:rsid w:val="00FE1CDA"/>
    <w:rsid w:val="00FE2619"/>
    <w:rsid w:val="00FE54A9"/>
    <w:rsid w:val="00FE554B"/>
    <w:rsid w:val="00FE7AFA"/>
    <w:rsid w:val="00FF0B0F"/>
    <w:rsid w:val="00FF0CED"/>
    <w:rsid w:val="00FF3434"/>
    <w:rsid w:val="00FF38BB"/>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F5BB71-9837-4036-A9E9-36A53A1F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F6"/>
    <w:pPr>
      <w:jc w:val="both"/>
    </w:pPr>
    <w:rPr>
      <w:rFonts w:ascii="Calibri" w:hAnsi="Calibri"/>
      <w:sz w:val="22"/>
      <w:szCs w:val="24"/>
    </w:rPr>
  </w:style>
  <w:style w:type="paragraph" w:styleId="Overskrift1">
    <w:name w:val="heading 1"/>
    <w:aliases w:val="Main heading"/>
    <w:basedOn w:val="Normal"/>
    <w:next w:val="Normal"/>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qFormat/>
    <w:rsid w:val="00AB55F8"/>
    <w:pPr>
      <w:numPr>
        <w:ilvl w:val="2"/>
      </w:numPr>
      <w:outlineLvl w:val="2"/>
    </w:pPr>
    <w:rPr>
      <w:rFonts w:ascii="Times New Roman" w:hAnsi="Times New Roman"/>
      <w:sz w:val="24"/>
      <w:szCs w:val="22"/>
      <w:lang w:val="x-none" w:eastAsia="x-none"/>
    </w:rPr>
  </w:style>
  <w:style w:type="paragraph" w:styleId="Overskrift4">
    <w:name w:val="heading 4"/>
    <w:aliases w:val="Sub / Sub Heading"/>
    <w:basedOn w:val="Normal"/>
    <w:next w:val="Normal"/>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qFormat/>
    <w:rsid w:val="00C96E5E"/>
    <w:pPr>
      <w:numPr>
        <w:ilvl w:val="4"/>
        <w:numId w:val="1"/>
      </w:numPr>
      <w:spacing w:before="240" w:after="60"/>
      <w:outlineLvl w:val="4"/>
    </w:pPr>
    <w:rPr>
      <w:rFonts w:ascii="Arial" w:hAnsi="Arial"/>
    </w:rPr>
  </w:style>
  <w:style w:type="paragraph" w:styleId="Overskrift6">
    <w:name w:val="heading 6"/>
    <w:basedOn w:val="Normal"/>
    <w:next w:val="Normal"/>
    <w:qFormat/>
    <w:rsid w:val="00C96E5E"/>
    <w:pPr>
      <w:numPr>
        <w:ilvl w:val="5"/>
        <w:numId w:val="1"/>
      </w:numPr>
      <w:spacing w:before="240" w:after="60"/>
      <w:outlineLvl w:val="5"/>
    </w:pPr>
    <w:rPr>
      <w:rFonts w:ascii="Arial" w:hAnsi="Arial"/>
      <w:i/>
    </w:rPr>
  </w:style>
  <w:style w:type="paragraph" w:styleId="Overskrift7">
    <w:name w:val="heading 7"/>
    <w:basedOn w:val="Normal"/>
    <w:next w:val="Normal"/>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4"/>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5"/>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link w:val="KommentartekstTegn"/>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7"/>
      </w:numPr>
      <w:ind w:left="470" w:hanging="357"/>
      <w:contextualSpacing w:val="0"/>
    </w:pPr>
  </w:style>
  <w:style w:type="paragraph" w:customStyle="1" w:styleId="Opstilling-punkttegnmafstand">
    <w:name w:val="Opstilling - punkttegn m afstand"/>
    <w:basedOn w:val="Opstilling-punkttegn"/>
    <w:rsid w:val="007F00D7"/>
    <w:pPr>
      <w:numPr>
        <w:numId w:val="6"/>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sz w:val="28"/>
      <w:szCs w:val="28"/>
      <w:lang w:val="x-none"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32"/>
      </w:numPr>
    </w:pPr>
  </w:style>
  <w:style w:type="paragraph" w:styleId="Listeafsnit">
    <w:name w:val="List Paragraph"/>
    <w:basedOn w:val="Normal"/>
    <w:uiPriority w:val="34"/>
    <w:qFormat/>
    <w:rsid w:val="00DF13FE"/>
    <w:pPr>
      <w:ind w:left="720"/>
      <w:contextualSpacing/>
    </w:pPr>
  </w:style>
  <w:style w:type="paragraph" w:customStyle="1" w:styleId="stk">
    <w:name w:val="stk"/>
    <w:basedOn w:val="Normal"/>
    <w:rsid w:val="00E83DB2"/>
    <w:pPr>
      <w:ind w:firstLine="170"/>
      <w:jc w:val="left"/>
    </w:pPr>
    <w:rPr>
      <w:rFonts w:ascii="Tahoma" w:hAnsi="Tahoma" w:cs="Tahoma"/>
      <w:color w:val="000000"/>
      <w:sz w:val="24"/>
    </w:rPr>
  </w:style>
  <w:style w:type="character" w:customStyle="1" w:styleId="KommentartekstTegn">
    <w:name w:val="Kommentartekst Tegn"/>
    <w:link w:val="Kommentartekst"/>
    <w:semiHidden/>
    <w:rsid w:val="00872568"/>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96097693">
      <w:bodyDiv w:val="1"/>
      <w:marLeft w:val="0"/>
      <w:marRight w:val="0"/>
      <w:marTop w:val="0"/>
      <w:marBottom w:val="0"/>
      <w:divBdr>
        <w:top w:val="none" w:sz="0" w:space="0" w:color="auto"/>
        <w:left w:val="none" w:sz="0" w:space="0" w:color="auto"/>
        <w:bottom w:val="none" w:sz="0" w:space="0" w:color="auto"/>
        <w:right w:val="none" w:sz="0" w:space="0" w:color="auto"/>
      </w:divBdr>
      <w:divsChild>
        <w:div w:id="146437769">
          <w:marLeft w:val="547"/>
          <w:marRight w:val="0"/>
          <w:marTop w:val="134"/>
          <w:marBottom w:val="0"/>
          <w:divBdr>
            <w:top w:val="none" w:sz="0" w:space="0" w:color="auto"/>
            <w:left w:val="none" w:sz="0" w:space="0" w:color="auto"/>
            <w:bottom w:val="none" w:sz="0" w:space="0" w:color="auto"/>
            <w:right w:val="none" w:sz="0" w:space="0" w:color="auto"/>
          </w:divBdr>
        </w:div>
        <w:div w:id="770204528">
          <w:marLeft w:val="1166"/>
          <w:marRight w:val="0"/>
          <w:marTop w:val="96"/>
          <w:marBottom w:val="0"/>
          <w:divBdr>
            <w:top w:val="none" w:sz="0" w:space="0" w:color="auto"/>
            <w:left w:val="none" w:sz="0" w:space="0" w:color="auto"/>
            <w:bottom w:val="none" w:sz="0" w:space="0" w:color="auto"/>
            <w:right w:val="none" w:sz="0" w:space="0" w:color="auto"/>
          </w:divBdr>
        </w:div>
        <w:div w:id="1407150024">
          <w:marLeft w:val="547"/>
          <w:marRight w:val="0"/>
          <w:marTop w:val="134"/>
          <w:marBottom w:val="0"/>
          <w:divBdr>
            <w:top w:val="none" w:sz="0" w:space="0" w:color="auto"/>
            <w:left w:val="none" w:sz="0" w:space="0" w:color="auto"/>
            <w:bottom w:val="none" w:sz="0" w:space="0" w:color="auto"/>
            <w:right w:val="none" w:sz="0" w:space="0" w:color="auto"/>
          </w:divBdr>
        </w:div>
        <w:div w:id="1676034094">
          <w:marLeft w:val="1166"/>
          <w:marRight w:val="0"/>
          <w:marTop w:val="96"/>
          <w:marBottom w:val="0"/>
          <w:divBdr>
            <w:top w:val="none" w:sz="0" w:space="0" w:color="auto"/>
            <w:left w:val="none" w:sz="0" w:space="0" w:color="auto"/>
            <w:bottom w:val="none" w:sz="0" w:space="0" w:color="auto"/>
            <w:right w:val="none" w:sz="0" w:space="0" w:color="auto"/>
          </w:divBdr>
        </w:div>
        <w:div w:id="1936358052">
          <w:marLeft w:val="547"/>
          <w:marRight w:val="0"/>
          <w:marTop w:val="134"/>
          <w:marBottom w:val="0"/>
          <w:divBdr>
            <w:top w:val="none" w:sz="0" w:space="0" w:color="auto"/>
            <w:left w:val="none" w:sz="0" w:space="0" w:color="auto"/>
            <w:bottom w:val="none" w:sz="0" w:space="0" w:color="auto"/>
            <w:right w:val="none" w:sz="0" w:space="0" w:color="auto"/>
          </w:divBdr>
        </w:div>
      </w:divsChild>
    </w:div>
    <w:div w:id="120654822">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45167756">
      <w:bodyDiv w:val="1"/>
      <w:marLeft w:val="0"/>
      <w:marRight w:val="0"/>
      <w:marTop w:val="0"/>
      <w:marBottom w:val="0"/>
      <w:divBdr>
        <w:top w:val="none" w:sz="0" w:space="0" w:color="auto"/>
        <w:left w:val="none" w:sz="0" w:space="0" w:color="auto"/>
        <w:bottom w:val="none" w:sz="0" w:space="0" w:color="auto"/>
        <w:right w:val="none" w:sz="0" w:space="0" w:color="auto"/>
      </w:divBdr>
      <w:divsChild>
        <w:div w:id="2021546250">
          <w:marLeft w:val="0"/>
          <w:marRight w:val="0"/>
          <w:marTop w:val="0"/>
          <w:marBottom w:val="238"/>
          <w:divBdr>
            <w:top w:val="none" w:sz="0" w:space="0" w:color="auto"/>
            <w:left w:val="none" w:sz="0" w:space="0" w:color="auto"/>
            <w:bottom w:val="none" w:sz="0" w:space="0" w:color="auto"/>
            <w:right w:val="none" w:sz="0" w:space="0" w:color="auto"/>
          </w:divBdr>
          <w:divsChild>
            <w:div w:id="1187065706">
              <w:marLeft w:val="0"/>
              <w:marRight w:val="0"/>
              <w:marTop w:val="0"/>
              <w:marBottom w:val="0"/>
              <w:divBdr>
                <w:top w:val="none" w:sz="0" w:space="0" w:color="auto"/>
                <w:left w:val="single" w:sz="4" w:space="1" w:color="FFFFFF"/>
                <w:bottom w:val="none" w:sz="0" w:space="0" w:color="auto"/>
                <w:right w:val="single" w:sz="4" w:space="1" w:color="FFFFFF"/>
              </w:divBdr>
              <w:divsChild>
                <w:div w:id="170342285">
                  <w:marLeft w:val="0"/>
                  <w:marRight w:val="0"/>
                  <w:marTop w:val="0"/>
                  <w:marBottom w:val="0"/>
                  <w:divBdr>
                    <w:top w:val="none" w:sz="0" w:space="0" w:color="auto"/>
                    <w:left w:val="none" w:sz="0" w:space="0" w:color="auto"/>
                    <w:bottom w:val="none" w:sz="0" w:space="0" w:color="auto"/>
                    <w:right w:val="none" w:sz="0" w:space="0" w:color="auto"/>
                  </w:divBdr>
                  <w:divsChild>
                    <w:div w:id="1120995502">
                      <w:marLeft w:val="0"/>
                      <w:marRight w:val="0"/>
                      <w:marTop w:val="0"/>
                      <w:marBottom w:val="0"/>
                      <w:divBdr>
                        <w:top w:val="none" w:sz="0" w:space="0" w:color="auto"/>
                        <w:left w:val="none" w:sz="0" w:space="0" w:color="auto"/>
                        <w:bottom w:val="none" w:sz="0" w:space="0" w:color="auto"/>
                        <w:right w:val="none" w:sz="0" w:space="0" w:color="auto"/>
                      </w:divBdr>
                      <w:divsChild>
                        <w:div w:id="1087190258">
                          <w:marLeft w:val="0"/>
                          <w:marRight w:val="0"/>
                          <w:marTop w:val="0"/>
                          <w:marBottom w:val="0"/>
                          <w:divBdr>
                            <w:top w:val="none" w:sz="0" w:space="0" w:color="auto"/>
                            <w:left w:val="none" w:sz="0" w:space="0" w:color="auto"/>
                            <w:bottom w:val="none" w:sz="0" w:space="0" w:color="auto"/>
                            <w:right w:val="none" w:sz="0" w:space="0" w:color="auto"/>
                          </w:divBdr>
                          <w:divsChild>
                            <w:div w:id="1563561369">
                              <w:marLeft w:val="0"/>
                              <w:marRight w:val="0"/>
                              <w:marTop w:val="0"/>
                              <w:marBottom w:val="0"/>
                              <w:divBdr>
                                <w:top w:val="none" w:sz="0" w:space="0" w:color="auto"/>
                                <w:left w:val="none" w:sz="0" w:space="0" w:color="auto"/>
                                <w:bottom w:val="none" w:sz="0" w:space="0" w:color="auto"/>
                                <w:right w:val="none" w:sz="0" w:space="0" w:color="auto"/>
                              </w:divBdr>
                              <w:divsChild>
                                <w:div w:id="1974480675">
                                  <w:marLeft w:val="0"/>
                                  <w:marRight w:val="0"/>
                                  <w:marTop w:val="0"/>
                                  <w:marBottom w:val="0"/>
                                  <w:divBdr>
                                    <w:top w:val="none" w:sz="0" w:space="0" w:color="auto"/>
                                    <w:left w:val="none" w:sz="0" w:space="0" w:color="auto"/>
                                    <w:bottom w:val="none" w:sz="0" w:space="0" w:color="auto"/>
                                    <w:right w:val="none" w:sz="0" w:space="0" w:color="auto"/>
                                  </w:divBdr>
                                  <w:divsChild>
                                    <w:div w:id="840856427">
                                      <w:marLeft w:val="0"/>
                                      <w:marRight w:val="0"/>
                                      <w:marTop w:val="0"/>
                                      <w:marBottom w:val="0"/>
                                      <w:divBdr>
                                        <w:top w:val="none" w:sz="0" w:space="0" w:color="auto"/>
                                        <w:left w:val="none" w:sz="0" w:space="0" w:color="auto"/>
                                        <w:bottom w:val="none" w:sz="0" w:space="0" w:color="auto"/>
                                        <w:right w:val="none" w:sz="0" w:space="0" w:color="auto"/>
                                      </w:divBdr>
                                      <w:divsChild>
                                        <w:div w:id="1371683915">
                                          <w:marLeft w:val="0"/>
                                          <w:marRight w:val="0"/>
                                          <w:marTop w:val="0"/>
                                          <w:marBottom w:val="0"/>
                                          <w:divBdr>
                                            <w:top w:val="none" w:sz="0" w:space="0" w:color="auto"/>
                                            <w:left w:val="none" w:sz="0" w:space="0" w:color="auto"/>
                                            <w:bottom w:val="none" w:sz="0" w:space="0" w:color="auto"/>
                                            <w:right w:val="none" w:sz="0" w:space="0" w:color="auto"/>
                                          </w:divBdr>
                                          <w:divsChild>
                                            <w:div w:id="148658145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8394">
      <w:bodyDiv w:val="1"/>
      <w:marLeft w:val="0"/>
      <w:marRight w:val="0"/>
      <w:marTop w:val="0"/>
      <w:marBottom w:val="0"/>
      <w:divBdr>
        <w:top w:val="none" w:sz="0" w:space="0" w:color="auto"/>
        <w:left w:val="none" w:sz="0" w:space="0" w:color="auto"/>
        <w:bottom w:val="none" w:sz="0" w:space="0" w:color="auto"/>
        <w:right w:val="none" w:sz="0" w:space="0" w:color="auto"/>
      </w:divBdr>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42441834">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0986">
      <w:bodyDiv w:val="1"/>
      <w:marLeft w:val="0"/>
      <w:marRight w:val="0"/>
      <w:marTop w:val="0"/>
      <w:marBottom w:val="0"/>
      <w:divBdr>
        <w:top w:val="none" w:sz="0" w:space="0" w:color="auto"/>
        <w:left w:val="none" w:sz="0" w:space="0" w:color="auto"/>
        <w:bottom w:val="none" w:sz="0" w:space="0" w:color="auto"/>
        <w:right w:val="none" w:sz="0" w:space="0" w:color="auto"/>
      </w:divBdr>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32255836">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675110626">
      <w:bodyDiv w:val="1"/>
      <w:marLeft w:val="0"/>
      <w:marRight w:val="0"/>
      <w:marTop w:val="0"/>
      <w:marBottom w:val="0"/>
      <w:divBdr>
        <w:top w:val="none" w:sz="0" w:space="0" w:color="auto"/>
        <w:left w:val="none" w:sz="0" w:space="0" w:color="auto"/>
        <w:bottom w:val="none" w:sz="0" w:space="0" w:color="auto"/>
        <w:right w:val="none" w:sz="0" w:space="0" w:color="auto"/>
      </w:divBdr>
    </w:div>
    <w:div w:id="711224341">
      <w:bodyDiv w:val="1"/>
      <w:marLeft w:val="0"/>
      <w:marRight w:val="0"/>
      <w:marTop w:val="0"/>
      <w:marBottom w:val="0"/>
      <w:divBdr>
        <w:top w:val="none" w:sz="0" w:space="0" w:color="auto"/>
        <w:left w:val="none" w:sz="0" w:space="0" w:color="auto"/>
        <w:bottom w:val="none" w:sz="0" w:space="0" w:color="auto"/>
        <w:right w:val="none" w:sz="0" w:space="0" w:color="auto"/>
      </w:divBdr>
      <w:divsChild>
        <w:div w:id="2132622785">
          <w:marLeft w:val="0"/>
          <w:marRight w:val="0"/>
          <w:marTop w:val="0"/>
          <w:marBottom w:val="238"/>
          <w:divBdr>
            <w:top w:val="none" w:sz="0" w:space="0" w:color="auto"/>
            <w:left w:val="none" w:sz="0" w:space="0" w:color="auto"/>
            <w:bottom w:val="none" w:sz="0" w:space="0" w:color="auto"/>
            <w:right w:val="none" w:sz="0" w:space="0" w:color="auto"/>
          </w:divBdr>
          <w:divsChild>
            <w:div w:id="1493762328">
              <w:marLeft w:val="0"/>
              <w:marRight w:val="0"/>
              <w:marTop w:val="0"/>
              <w:marBottom w:val="0"/>
              <w:divBdr>
                <w:top w:val="none" w:sz="0" w:space="0" w:color="auto"/>
                <w:left w:val="single" w:sz="4" w:space="1" w:color="FFFFFF"/>
                <w:bottom w:val="none" w:sz="0" w:space="0" w:color="auto"/>
                <w:right w:val="single" w:sz="4" w:space="1" w:color="FFFFFF"/>
              </w:divBdr>
              <w:divsChild>
                <w:div w:id="1198203932">
                  <w:marLeft w:val="0"/>
                  <w:marRight w:val="0"/>
                  <w:marTop w:val="0"/>
                  <w:marBottom w:val="0"/>
                  <w:divBdr>
                    <w:top w:val="none" w:sz="0" w:space="0" w:color="auto"/>
                    <w:left w:val="none" w:sz="0" w:space="0" w:color="auto"/>
                    <w:bottom w:val="none" w:sz="0" w:space="0" w:color="auto"/>
                    <w:right w:val="none" w:sz="0" w:space="0" w:color="auto"/>
                  </w:divBdr>
                  <w:divsChild>
                    <w:div w:id="2047294266">
                      <w:marLeft w:val="0"/>
                      <w:marRight w:val="0"/>
                      <w:marTop w:val="0"/>
                      <w:marBottom w:val="0"/>
                      <w:divBdr>
                        <w:top w:val="none" w:sz="0" w:space="0" w:color="auto"/>
                        <w:left w:val="none" w:sz="0" w:space="0" w:color="auto"/>
                        <w:bottom w:val="none" w:sz="0" w:space="0" w:color="auto"/>
                        <w:right w:val="none" w:sz="0" w:space="0" w:color="auto"/>
                      </w:divBdr>
                      <w:divsChild>
                        <w:div w:id="1206141336">
                          <w:marLeft w:val="0"/>
                          <w:marRight w:val="0"/>
                          <w:marTop w:val="0"/>
                          <w:marBottom w:val="0"/>
                          <w:divBdr>
                            <w:top w:val="none" w:sz="0" w:space="0" w:color="auto"/>
                            <w:left w:val="none" w:sz="0" w:space="0" w:color="auto"/>
                            <w:bottom w:val="none" w:sz="0" w:space="0" w:color="auto"/>
                            <w:right w:val="none" w:sz="0" w:space="0" w:color="auto"/>
                          </w:divBdr>
                          <w:divsChild>
                            <w:div w:id="630938025">
                              <w:marLeft w:val="0"/>
                              <w:marRight w:val="0"/>
                              <w:marTop w:val="0"/>
                              <w:marBottom w:val="0"/>
                              <w:divBdr>
                                <w:top w:val="none" w:sz="0" w:space="0" w:color="auto"/>
                                <w:left w:val="none" w:sz="0" w:space="0" w:color="auto"/>
                                <w:bottom w:val="none" w:sz="0" w:space="0" w:color="auto"/>
                                <w:right w:val="none" w:sz="0" w:space="0" w:color="auto"/>
                              </w:divBdr>
                              <w:divsChild>
                                <w:div w:id="1583028897">
                                  <w:marLeft w:val="0"/>
                                  <w:marRight w:val="0"/>
                                  <w:marTop w:val="0"/>
                                  <w:marBottom w:val="0"/>
                                  <w:divBdr>
                                    <w:top w:val="none" w:sz="0" w:space="0" w:color="auto"/>
                                    <w:left w:val="none" w:sz="0" w:space="0" w:color="auto"/>
                                    <w:bottom w:val="none" w:sz="0" w:space="0" w:color="auto"/>
                                    <w:right w:val="none" w:sz="0" w:space="0" w:color="auto"/>
                                  </w:divBdr>
                                  <w:divsChild>
                                    <w:div w:id="250818175">
                                      <w:marLeft w:val="0"/>
                                      <w:marRight w:val="0"/>
                                      <w:marTop w:val="0"/>
                                      <w:marBottom w:val="0"/>
                                      <w:divBdr>
                                        <w:top w:val="none" w:sz="0" w:space="0" w:color="auto"/>
                                        <w:left w:val="none" w:sz="0" w:space="0" w:color="auto"/>
                                        <w:bottom w:val="none" w:sz="0" w:space="0" w:color="auto"/>
                                        <w:right w:val="none" w:sz="0" w:space="0" w:color="auto"/>
                                      </w:divBdr>
                                      <w:divsChild>
                                        <w:div w:id="206375650">
                                          <w:marLeft w:val="0"/>
                                          <w:marRight w:val="0"/>
                                          <w:marTop w:val="0"/>
                                          <w:marBottom w:val="0"/>
                                          <w:divBdr>
                                            <w:top w:val="none" w:sz="0" w:space="0" w:color="auto"/>
                                            <w:left w:val="none" w:sz="0" w:space="0" w:color="auto"/>
                                            <w:bottom w:val="none" w:sz="0" w:space="0" w:color="auto"/>
                                            <w:right w:val="none" w:sz="0" w:space="0" w:color="auto"/>
                                          </w:divBdr>
                                          <w:divsChild>
                                            <w:div w:id="95788108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886448924">
      <w:bodyDiv w:val="1"/>
      <w:marLeft w:val="0"/>
      <w:marRight w:val="0"/>
      <w:marTop w:val="0"/>
      <w:marBottom w:val="0"/>
      <w:divBdr>
        <w:top w:val="none" w:sz="0" w:space="0" w:color="auto"/>
        <w:left w:val="none" w:sz="0" w:space="0" w:color="auto"/>
        <w:bottom w:val="none" w:sz="0" w:space="0" w:color="auto"/>
        <w:right w:val="none" w:sz="0" w:space="0" w:color="auto"/>
      </w:divBdr>
    </w:div>
    <w:div w:id="929045585">
      <w:bodyDiv w:val="1"/>
      <w:marLeft w:val="0"/>
      <w:marRight w:val="0"/>
      <w:marTop w:val="0"/>
      <w:marBottom w:val="0"/>
      <w:divBdr>
        <w:top w:val="none" w:sz="0" w:space="0" w:color="auto"/>
        <w:left w:val="none" w:sz="0" w:space="0" w:color="auto"/>
        <w:bottom w:val="none" w:sz="0" w:space="0" w:color="auto"/>
        <w:right w:val="none" w:sz="0" w:space="0" w:color="auto"/>
      </w:divBdr>
    </w:div>
    <w:div w:id="985281698">
      <w:bodyDiv w:val="1"/>
      <w:marLeft w:val="0"/>
      <w:marRight w:val="0"/>
      <w:marTop w:val="0"/>
      <w:marBottom w:val="0"/>
      <w:divBdr>
        <w:top w:val="none" w:sz="0" w:space="0" w:color="auto"/>
        <w:left w:val="none" w:sz="0" w:space="0" w:color="auto"/>
        <w:bottom w:val="none" w:sz="0" w:space="0" w:color="auto"/>
        <w:right w:val="none" w:sz="0" w:space="0" w:color="auto"/>
      </w:divBdr>
    </w:div>
    <w:div w:id="1092507525">
      <w:bodyDiv w:val="1"/>
      <w:marLeft w:val="0"/>
      <w:marRight w:val="0"/>
      <w:marTop w:val="0"/>
      <w:marBottom w:val="0"/>
      <w:divBdr>
        <w:top w:val="none" w:sz="0" w:space="0" w:color="auto"/>
        <w:left w:val="none" w:sz="0" w:space="0" w:color="auto"/>
        <w:bottom w:val="none" w:sz="0" w:space="0" w:color="auto"/>
        <w:right w:val="none" w:sz="0" w:space="0" w:color="auto"/>
      </w:divBdr>
    </w:div>
    <w:div w:id="1103569612">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55954371">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187017197">
      <w:bodyDiv w:val="1"/>
      <w:marLeft w:val="0"/>
      <w:marRight w:val="0"/>
      <w:marTop w:val="0"/>
      <w:marBottom w:val="0"/>
      <w:divBdr>
        <w:top w:val="none" w:sz="0" w:space="0" w:color="auto"/>
        <w:left w:val="none" w:sz="0" w:space="0" w:color="auto"/>
        <w:bottom w:val="none" w:sz="0" w:space="0" w:color="auto"/>
        <w:right w:val="none" w:sz="0" w:space="0" w:color="auto"/>
      </w:divBdr>
    </w:div>
    <w:div w:id="1213923780">
      <w:bodyDiv w:val="1"/>
      <w:marLeft w:val="0"/>
      <w:marRight w:val="0"/>
      <w:marTop w:val="0"/>
      <w:marBottom w:val="0"/>
      <w:divBdr>
        <w:top w:val="none" w:sz="0" w:space="0" w:color="auto"/>
        <w:left w:val="none" w:sz="0" w:space="0" w:color="auto"/>
        <w:bottom w:val="none" w:sz="0" w:space="0" w:color="auto"/>
        <w:right w:val="none" w:sz="0" w:space="0" w:color="auto"/>
      </w:divBdr>
    </w:div>
    <w:div w:id="1275987862">
      <w:bodyDiv w:val="1"/>
      <w:marLeft w:val="0"/>
      <w:marRight w:val="0"/>
      <w:marTop w:val="0"/>
      <w:marBottom w:val="0"/>
      <w:divBdr>
        <w:top w:val="none" w:sz="0" w:space="0" w:color="auto"/>
        <w:left w:val="none" w:sz="0" w:space="0" w:color="auto"/>
        <w:bottom w:val="none" w:sz="0" w:space="0" w:color="auto"/>
        <w:right w:val="none" w:sz="0" w:space="0" w:color="auto"/>
      </w:divBdr>
      <w:divsChild>
        <w:div w:id="826745737">
          <w:marLeft w:val="547"/>
          <w:marRight w:val="0"/>
          <w:marTop w:val="134"/>
          <w:marBottom w:val="0"/>
          <w:divBdr>
            <w:top w:val="none" w:sz="0" w:space="0" w:color="auto"/>
            <w:left w:val="none" w:sz="0" w:space="0" w:color="auto"/>
            <w:bottom w:val="none" w:sz="0" w:space="0" w:color="auto"/>
            <w:right w:val="none" w:sz="0" w:space="0" w:color="auto"/>
          </w:divBdr>
        </w:div>
        <w:div w:id="1464694531">
          <w:marLeft w:val="547"/>
          <w:marRight w:val="0"/>
          <w:marTop w:val="134"/>
          <w:marBottom w:val="0"/>
          <w:divBdr>
            <w:top w:val="none" w:sz="0" w:space="0" w:color="auto"/>
            <w:left w:val="none" w:sz="0" w:space="0" w:color="auto"/>
            <w:bottom w:val="none" w:sz="0" w:space="0" w:color="auto"/>
            <w:right w:val="none" w:sz="0" w:space="0" w:color="auto"/>
          </w:divBdr>
        </w:div>
        <w:div w:id="1838618049">
          <w:marLeft w:val="547"/>
          <w:marRight w:val="0"/>
          <w:marTop w:val="134"/>
          <w:marBottom w:val="0"/>
          <w:divBdr>
            <w:top w:val="none" w:sz="0" w:space="0" w:color="auto"/>
            <w:left w:val="none" w:sz="0" w:space="0" w:color="auto"/>
            <w:bottom w:val="none" w:sz="0" w:space="0" w:color="auto"/>
            <w:right w:val="none" w:sz="0" w:space="0" w:color="auto"/>
          </w:divBdr>
        </w:div>
      </w:divsChild>
    </w:div>
    <w:div w:id="1281645531">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547913457">
      <w:bodyDiv w:val="1"/>
      <w:marLeft w:val="0"/>
      <w:marRight w:val="0"/>
      <w:marTop w:val="0"/>
      <w:marBottom w:val="0"/>
      <w:divBdr>
        <w:top w:val="none" w:sz="0" w:space="0" w:color="auto"/>
        <w:left w:val="none" w:sz="0" w:space="0" w:color="auto"/>
        <w:bottom w:val="none" w:sz="0" w:space="0" w:color="auto"/>
        <w:right w:val="none" w:sz="0" w:space="0" w:color="auto"/>
      </w:divBdr>
    </w:div>
    <w:div w:id="1612660714">
      <w:bodyDiv w:val="1"/>
      <w:marLeft w:val="0"/>
      <w:marRight w:val="0"/>
      <w:marTop w:val="0"/>
      <w:marBottom w:val="0"/>
      <w:divBdr>
        <w:top w:val="none" w:sz="0" w:space="0" w:color="auto"/>
        <w:left w:val="none" w:sz="0" w:space="0" w:color="auto"/>
        <w:bottom w:val="none" w:sz="0" w:space="0" w:color="auto"/>
        <w:right w:val="none" w:sz="0" w:space="0" w:color="auto"/>
      </w:divBdr>
    </w:div>
    <w:div w:id="1637949826">
      <w:bodyDiv w:val="1"/>
      <w:marLeft w:val="0"/>
      <w:marRight w:val="0"/>
      <w:marTop w:val="0"/>
      <w:marBottom w:val="0"/>
      <w:divBdr>
        <w:top w:val="none" w:sz="0" w:space="0" w:color="auto"/>
        <w:left w:val="none" w:sz="0" w:space="0" w:color="auto"/>
        <w:bottom w:val="none" w:sz="0" w:space="0" w:color="auto"/>
        <w:right w:val="none" w:sz="0" w:space="0" w:color="auto"/>
      </w:divBdr>
    </w:div>
    <w:div w:id="1671055991">
      <w:bodyDiv w:val="1"/>
      <w:marLeft w:val="0"/>
      <w:marRight w:val="0"/>
      <w:marTop w:val="0"/>
      <w:marBottom w:val="0"/>
      <w:divBdr>
        <w:top w:val="none" w:sz="0" w:space="0" w:color="auto"/>
        <w:left w:val="none" w:sz="0" w:space="0" w:color="auto"/>
        <w:bottom w:val="none" w:sz="0" w:space="0" w:color="auto"/>
        <w:right w:val="none" w:sz="0" w:space="0" w:color="auto"/>
      </w:divBdr>
    </w:div>
    <w:div w:id="1748771726">
      <w:bodyDiv w:val="1"/>
      <w:marLeft w:val="0"/>
      <w:marRight w:val="0"/>
      <w:marTop w:val="0"/>
      <w:marBottom w:val="0"/>
      <w:divBdr>
        <w:top w:val="none" w:sz="0" w:space="0" w:color="auto"/>
        <w:left w:val="none" w:sz="0" w:space="0" w:color="auto"/>
        <w:bottom w:val="none" w:sz="0" w:space="0" w:color="auto"/>
        <w:right w:val="none" w:sz="0" w:space="0" w:color="auto"/>
      </w:divBdr>
    </w:div>
    <w:div w:id="1776437911">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1982348644">
      <w:bodyDiv w:val="1"/>
      <w:marLeft w:val="0"/>
      <w:marRight w:val="0"/>
      <w:marTop w:val="0"/>
      <w:marBottom w:val="0"/>
      <w:divBdr>
        <w:top w:val="none" w:sz="0" w:space="0" w:color="auto"/>
        <w:left w:val="none" w:sz="0" w:space="0" w:color="auto"/>
        <w:bottom w:val="none" w:sz="0" w:space="0" w:color="auto"/>
        <w:right w:val="none" w:sz="0" w:space="0" w:color="auto"/>
      </w:divBdr>
    </w:div>
    <w:div w:id="2019235913">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2CE7-5D7A-4992-B166-2B9D7515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11319</Words>
  <Characters>69052</Characters>
  <Application>Microsoft Office Word</Application>
  <DocSecurity>0</DocSecurity>
  <Lines>575</Lines>
  <Paragraphs>160</Paragraphs>
  <ScaleCrop>false</ScaleCrop>
  <HeadingPairs>
    <vt:vector size="2" baseType="variant">
      <vt:variant>
        <vt:lpstr>Titel</vt:lpstr>
      </vt:variant>
      <vt:variant>
        <vt:i4>1</vt:i4>
      </vt:variant>
    </vt:vector>
  </HeadingPairs>
  <TitlesOfParts>
    <vt:vector size="1" baseType="lpstr">
      <vt:lpstr>Programstyringsdokument</vt:lpstr>
    </vt:vector>
  </TitlesOfParts>
  <Company>MBBL</Company>
  <LinksUpToDate>false</LinksUpToDate>
  <CharactersWithSpaces>80211</CharactersWithSpaces>
  <SharedDoc>false</SharedDoc>
  <HLinks>
    <vt:vector size="312" baseType="variant">
      <vt:variant>
        <vt:i4>1048630</vt:i4>
      </vt:variant>
      <vt:variant>
        <vt:i4>317</vt:i4>
      </vt:variant>
      <vt:variant>
        <vt:i4>0</vt:i4>
      </vt:variant>
      <vt:variant>
        <vt:i4>5</vt:i4>
      </vt:variant>
      <vt:variant>
        <vt:lpwstr/>
      </vt:variant>
      <vt:variant>
        <vt:lpwstr>_Toc341024676</vt:lpwstr>
      </vt:variant>
      <vt:variant>
        <vt:i4>1048630</vt:i4>
      </vt:variant>
      <vt:variant>
        <vt:i4>311</vt:i4>
      </vt:variant>
      <vt:variant>
        <vt:i4>0</vt:i4>
      </vt:variant>
      <vt:variant>
        <vt:i4>5</vt:i4>
      </vt:variant>
      <vt:variant>
        <vt:lpwstr/>
      </vt:variant>
      <vt:variant>
        <vt:lpwstr>_Toc341024675</vt:lpwstr>
      </vt:variant>
      <vt:variant>
        <vt:i4>1048630</vt:i4>
      </vt:variant>
      <vt:variant>
        <vt:i4>305</vt:i4>
      </vt:variant>
      <vt:variant>
        <vt:i4>0</vt:i4>
      </vt:variant>
      <vt:variant>
        <vt:i4>5</vt:i4>
      </vt:variant>
      <vt:variant>
        <vt:lpwstr/>
      </vt:variant>
      <vt:variant>
        <vt:lpwstr>_Toc341024674</vt:lpwstr>
      </vt:variant>
      <vt:variant>
        <vt:i4>1048630</vt:i4>
      </vt:variant>
      <vt:variant>
        <vt:i4>299</vt:i4>
      </vt:variant>
      <vt:variant>
        <vt:i4>0</vt:i4>
      </vt:variant>
      <vt:variant>
        <vt:i4>5</vt:i4>
      </vt:variant>
      <vt:variant>
        <vt:lpwstr/>
      </vt:variant>
      <vt:variant>
        <vt:lpwstr>_Toc341024673</vt:lpwstr>
      </vt:variant>
      <vt:variant>
        <vt:i4>1048630</vt:i4>
      </vt:variant>
      <vt:variant>
        <vt:i4>293</vt:i4>
      </vt:variant>
      <vt:variant>
        <vt:i4>0</vt:i4>
      </vt:variant>
      <vt:variant>
        <vt:i4>5</vt:i4>
      </vt:variant>
      <vt:variant>
        <vt:lpwstr/>
      </vt:variant>
      <vt:variant>
        <vt:lpwstr>_Toc341024672</vt:lpwstr>
      </vt:variant>
      <vt:variant>
        <vt:i4>1048630</vt:i4>
      </vt:variant>
      <vt:variant>
        <vt:i4>287</vt:i4>
      </vt:variant>
      <vt:variant>
        <vt:i4>0</vt:i4>
      </vt:variant>
      <vt:variant>
        <vt:i4>5</vt:i4>
      </vt:variant>
      <vt:variant>
        <vt:lpwstr/>
      </vt:variant>
      <vt:variant>
        <vt:lpwstr>_Toc341024671</vt:lpwstr>
      </vt:variant>
      <vt:variant>
        <vt:i4>1048630</vt:i4>
      </vt:variant>
      <vt:variant>
        <vt:i4>281</vt:i4>
      </vt:variant>
      <vt:variant>
        <vt:i4>0</vt:i4>
      </vt:variant>
      <vt:variant>
        <vt:i4>5</vt:i4>
      </vt:variant>
      <vt:variant>
        <vt:lpwstr/>
      </vt:variant>
      <vt:variant>
        <vt:lpwstr>_Toc341024670</vt:lpwstr>
      </vt:variant>
      <vt:variant>
        <vt:i4>1114166</vt:i4>
      </vt:variant>
      <vt:variant>
        <vt:i4>275</vt:i4>
      </vt:variant>
      <vt:variant>
        <vt:i4>0</vt:i4>
      </vt:variant>
      <vt:variant>
        <vt:i4>5</vt:i4>
      </vt:variant>
      <vt:variant>
        <vt:lpwstr/>
      </vt:variant>
      <vt:variant>
        <vt:lpwstr>_Toc341024669</vt:lpwstr>
      </vt:variant>
      <vt:variant>
        <vt:i4>1114166</vt:i4>
      </vt:variant>
      <vt:variant>
        <vt:i4>269</vt:i4>
      </vt:variant>
      <vt:variant>
        <vt:i4>0</vt:i4>
      </vt:variant>
      <vt:variant>
        <vt:i4>5</vt:i4>
      </vt:variant>
      <vt:variant>
        <vt:lpwstr/>
      </vt:variant>
      <vt:variant>
        <vt:lpwstr>_Toc341024668</vt:lpwstr>
      </vt:variant>
      <vt:variant>
        <vt:i4>1114166</vt:i4>
      </vt:variant>
      <vt:variant>
        <vt:i4>263</vt:i4>
      </vt:variant>
      <vt:variant>
        <vt:i4>0</vt:i4>
      </vt:variant>
      <vt:variant>
        <vt:i4>5</vt:i4>
      </vt:variant>
      <vt:variant>
        <vt:lpwstr/>
      </vt:variant>
      <vt:variant>
        <vt:lpwstr>_Toc341024667</vt:lpwstr>
      </vt:variant>
      <vt:variant>
        <vt:i4>1114166</vt:i4>
      </vt:variant>
      <vt:variant>
        <vt:i4>257</vt:i4>
      </vt:variant>
      <vt:variant>
        <vt:i4>0</vt:i4>
      </vt:variant>
      <vt:variant>
        <vt:i4>5</vt:i4>
      </vt:variant>
      <vt:variant>
        <vt:lpwstr/>
      </vt:variant>
      <vt:variant>
        <vt:lpwstr>_Toc341024666</vt:lpwstr>
      </vt:variant>
      <vt:variant>
        <vt:i4>1114166</vt:i4>
      </vt:variant>
      <vt:variant>
        <vt:i4>251</vt:i4>
      </vt:variant>
      <vt:variant>
        <vt:i4>0</vt:i4>
      </vt:variant>
      <vt:variant>
        <vt:i4>5</vt:i4>
      </vt:variant>
      <vt:variant>
        <vt:lpwstr/>
      </vt:variant>
      <vt:variant>
        <vt:lpwstr>_Toc341024665</vt:lpwstr>
      </vt:variant>
      <vt:variant>
        <vt:i4>1114166</vt:i4>
      </vt:variant>
      <vt:variant>
        <vt:i4>245</vt:i4>
      </vt:variant>
      <vt:variant>
        <vt:i4>0</vt:i4>
      </vt:variant>
      <vt:variant>
        <vt:i4>5</vt:i4>
      </vt:variant>
      <vt:variant>
        <vt:lpwstr/>
      </vt:variant>
      <vt:variant>
        <vt:lpwstr>_Toc341024664</vt:lpwstr>
      </vt:variant>
      <vt:variant>
        <vt:i4>1114166</vt:i4>
      </vt:variant>
      <vt:variant>
        <vt:i4>239</vt:i4>
      </vt:variant>
      <vt:variant>
        <vt:i4>0</vt:i4>
      </vt:variant>
      <vt:variant>
        <vt:i4>5</vt:i4>
      </vt:variant>
      <vt:variant>
        <vt:lpwstr/>
      </vt:variant>
      <vt:variant>
        <vt:lpwstr>_Toc341024663</vt:lpwstr>
      </vt:variant>
      <vt:variant>
        <vt:i4>1114166</vt:i4>
      </vt:variant>
      <vt:variant>
        <vt:i4>233</vt:i4>
      </vt:variant>
      <vt:variant>
        <vt:i4>0</vt:i4>
      </vt:variant>
      <vt:variant>
        <vt:i4>5</vt:i4>
      </vt:variant>
      <vt:variant>
        <vt:lpwstr/>
      </vt:variant>
      <vt:variant>
        <vt:lpwstr>_Toc341024662</vt:lpwstr>
      </vt:variant>
      <vt:variant>
        <vt:i4>1114166</vt:i4>
      </vt:variant>
      <vt:variant>
        <vt:i4>227</vt:i4>
      </vt:variant>
      <vt:variant>
        <vt:i4>0</vt:i4>
      </vt:variant>
      <vt:variant>
        <vt:i4>5</vt:i4>
      </vt:variant>
      <vt:variant>
        <vt:lpwstr/>
      </vt:variant>
      <vt:variant>
        <vt:lpwstr>_Toc341024661</vt:lpwstr>
      </vt:variant>
      <vt:variant>
        <vt:i4>1114166</vt:i4>
      </vt:variant>
      <vt:variant>
        <vt:i4>221</vt:i4>
      </vt:variant>
      <vt:variant>
        <vt:i4>0</vt:i4>
      </vt:variant>
      <vt:variant>
        <vt:i4>5</vt:i4>
      </vt:variant>
      <vt:variant>
        <vt:lpwstr/>
      </vt:variant>
      <vt:variant>
        <vt:lpwstr>_Toc341024660</vt:lpwstr>
      </vt:variant>
      <vt:variant>
        <vt:i4>1179702</vt:i4>
      </vt:variant>
      <vt:variant>
        <vt:i4>215</vt:i4>
      </vt:variant>
      <vt:variant>
        <vt:i4>0</vt:i4>
      </vt:variant>
      <vt:variant>
        <vt:i4>5</vt:i4>
      </vt:variant>
      <vt:variant>
        <vt:lpwstr/>
      </vt:variant>
      <vt:variant>
        <vt:lpwstr>_Toc341024659</vt:lpwstr>
      </vt:variant>
      <vt:variant>
        <vt:i4>1179702</vt:i4>
      </vt:variant>
      <vt:variant>
        <vt:i4>209</vt:i4>
      </vt:variant>
      <vt:variant>
        <vt:i4>0</vt:i4>
      </vt:variant>
      <vt:variant>
        <vt:i4>5</vt:i4>
      </vt:variant>
      <vt:variant>
        <vt:lpwstr/>
      </vt:variant>
      <vt:variant>
        <vt:lpwstr>_Toc341024658</vt:lpwstr>
      </vt:variant>
      <vt:variant>
        <vt:i4>1179702</vt:i4>
      </vt:variant>
      <vt:variant>
        <vt:i4>203</vt:i4>
      </vt:variant>
      <vt:variant>
        <vt:i4>0</vt:i4>
      </vt:variant>
      <vt:variant>
        <vt:i4>5</vt:i4>
      </vt:variant>
      <vt:variant>
        <vt:lpwstr/>
      </vt:variant>
      <vt:variant>
        <vt:lpwstr>_Toc341024657</vt:lpwstr>
      </vt:variant>
      <vt:variant>
        <vt:i4>1179702</vt:i4>
      </vt:variant>
      <vt:variant>
        <vt:i4>197</vt:i4>
      </vt:variant>
      <vt:variant>
        <vt:i4>0</vt:i4>
      </vt:variant>
      <vt:variant>
        <vt:i4>5</vt:i4>
      </vt:variant>
      <vt:variant>
        <vt:lpwstr/>
      </vt:variant>
      <vt:variant>
        <vt:lpwstr>_Toc341024656</vt:lpwstr>
      </vt:variant>
      <vt:variant>
        <vt:i4>1179702</vt:i4>
      </vt:variant>
      <vt:variant>
        <vt:i4>191</vt:i4>
      </vt:variant>
      <vt:variant>
        <vt:i4>0</vt:i4>
      </vt:variant>
      <vt:variant>
        <vt:i4>5</vt:i4>
      </vt:variant>
      <vt:variant>
        <vt:lpwstr/>
      </vt:variant>
      <vt:variant>
        <vt:lpwstr>_Toc341024655</vt:lpwstr>
      </vt:variant>
      <vt:variant>
        <vt:i4>1179702</vt:i4>
      </vt:variant>
      <vt:variant>
        <vt:i4>185</vt:i4>
      </vt:variant>
      <vt:variant>
        <vt:i4>0</vt:i4>
      </vt:variant>
      <vt:variant>
        <vt:i4>5</vt:i4>
      </vt:variant>
      <vt:variant>
        <vt:lpwstr/>
      </vt:variant>
      <vt:variant>
        <vt:lpwstr>_Toc341024654</vt:lpwstr>
      </vt:variant>
      <vt:variant>
        <vt:i4>1179702</vt:i4>
      </vt:variant>
      <vt:variant>
        <vt:i4>179</vt:i4>
      </vt:variant>
      <vt:variant>
        <vt:i4>0</vt:i4>
      </vt:variant>
      <vt:variant>
        <vt:i4>5</vt:i4>
      </vt:variant>
      <vt:variant>
        <vt:lpwstr/>
      </vt:variant>
      <vt:variant>
        <vt:lpwstr>_Toc341024653</vt:lpwstr>
      </vt:variant>
      <vt:variant>
        <vt:i4>1179702</vt:i4>
      </vt:variant>
      <vt:variant>
        <vt:i4>173</vt:i4>
      </vt:variant>
      <vt:variant>
        <vt:i4>0</vt:i4>
      </vt:variant>
      <vt:variant>
        <vt:i4>5</vt:i4>
      </vt:variant>
      <vt:variant>
        <vt:lpwstr/>
      </vt:variant>
      <vt:variant>
        <vt:lpwstr>_Toc341024652</vt:lpwstr>
      </vt:variant>
      <vt:variant>
        <vt:i4>1179702</vt:i4>
      </vt:variant>
      <vt:variant>
        <vt:i4>167</vt:i4>
      </vt:variant>
      <vt:variant>
        <vt:i4>0</vt:i4>
      </vt:variant>
      <vt:variant>
        <vt:i4>5</vt:i4>
      </vt:variant>
      <vt:variant>
        <vt:lpwstr/>
      </vt:variant>
      <vt:variant>
        <vt:lpwstr>_Toc341024651</vt:lpwstr>
      </vt:variant>
      <vt:variant>
        <vt:i4>1179702</vt:i4>
      </vt:variant>
      <vt:variant>
        <vt:i4>161</vt:i4>
      </vt:variant>
      <vt:variant>
        <vt:i4>0</vt:i4>
      </vt:variant>
      <vt:variant>
        <vt:i4>5</vt:i4>
      </vt:variant>
      <vt:variant>
        <vt:lpwstr/>
      </vt:variant>
      <vt:variant>
        <vt:lpwstr>_Toc341024650</vt:lpwstr>
      </vt:variant>
      <vt:variant>
        <vt:i4>1245238</vt:i4>
      </vt:variant>
      <vt:variant>
        <vt:i4>155</vt:i4>
      </vt:variant>
      <vt:variant>
        <vt:i4>0</vt:i4>
      </vt:variant>
      <vt:variant>
        <vt:i4>5</vt:i4>
      </vt:variant>
      <vt:variant>
        <vt:lpwstr/>
      </vt:variant>
      <vt:variant>
        <vt:lpwstr>_Toc341024649</vt:lpwstr>
      </vt:variant>
      <vt:variant>
        <vt:i4>1245238</vt:i4>
      </vt:variant>
      <vt:variant>
        <vt:i4>149</vt:i4>
      </vt:variant>
      <vt:variant>
        <vt:i4>0</vt:i4>
      </vt:variant>
      <vt:variant>
        <vt:i4>5</vt:i4>
      </vt:variant>
      <vt:variant>
        <vt:lpwstr/>
      </vt:variant>
      <vt:variant>
        <vt:lpwstr>_Toc341024648</vt:lpwstr>
      </vt:variant>
      <vt:variant>
        <vt:i4>1245238</vt:i4>
      </vt:variant>
      <vt:variant>
        <vt:i4>143</vt:i4>
      </vt:variant>
      <vt:variant>
        <vt:i4>0</vt:i4>
      </vt:variant>
      <vt:variant>
        <vt:i4>5</vt:i4>
      </vt:variant>
      <vt:variant>
        <vt:lpwstr/>
      </vt:variant>
      <vt:variant>
        <vt:lpwstr>_Toc341024647</vt:lpwstr>
      </vt:variant>
      <vt:variant>
        <vt:i4>1245238</vt:i4>
      </vt:variant>
      <vt:variant>
        <vt:i4>137</vt:i4>
      </vt:variant>
      <vt:variant>
        <vt:i4>0</vt:i4>
      </vt:variant>
      <vt:variant>
        <vt:i4>5</vt:i4>
      </vt:variant>
      <vt:variant>
        <vt:lpwstr/>
      </vt:variant>
      <vt:variant>
        <vt:lpwstr>_Toc341024646</vt:lpwstr>
      </vt:variant>
      <vt:variant>
        <vt:i4>1245238</vt:i4>
      </vt:variant>
      <vt:variant>
        <vt:i4>131</vt:i4>
      </vt:variant>
      <vt:variant>
        <vt:i4>0</vt:i4>
      </vt:variant>
      <vt:variant>
        <vt:i4>5</vt:i4>
      </vt:variant>
      <vt:variant>
        <vt:lpwstr/>
      </vt:variant>
      <vt:variant>
        <vt:lpwstr>_Toc341024645</vt:lpwstr>
      </vt:variant>
      <vt:variant>
        <vt:i4>1245238</vt:i4>
      </vt:variant>
      <vt:variant>
        <vt:i4>125</vt:i4>
      </vt:variant>
      <vt:variant>
        <vt:i4>0</vt:i4>
      </vt:variant>
      <vt:variant>
        <vt:i4>5</vt:i4>
      </vt:variant>
      <vt:variant>
        <vt:lpwstr/>
      </vt:variant>
      <vt:variant>
        <vt:lpwstr>_Toc341024644</vt:lpwstr>
      </vt:variant>
      <vt:variant>
        <vt:i4>1245238</vt:i4>
      </vt:variant>
      <vt:variant>
        <vt:i4>119</vt:i4>
      </vt:variant>
      <vt:variant>
        <vt:i4>0</vt:i4>
      </vt:variant>
      <vt:variant>
        <vt:i4>5</vt:i4>
      </vt:variant>
      <vt:variant>
        <vt:lpwstr/>
      </vt:variant>
      <vt:variant>
        <vt:lpwstr>_Toc341024643</vt:lpwstr>
      </vt:variant>
      <vt:variant>
        <vt:i4>1245238</vt:i4>
      </vt:variant>
      <vt:variant>
        <vt:i4>113</vt:i4>
      </vt:variant>
      <vt:variant>
        <vt:i4>0</vt:i4>
      </vt:variant>
      <vt:variant>
        <vt:i4>5</vt:i4>
      </vt:variant>
      <vt:variant>
        <vt:lpwstr/>
      </vt:variant>
      <vt:variant>
        <vt:lpwstr>_Toc341024642</vt:lpwstr>
      </vt:variant>
      <vt:variant>
        <vt:i4>1245238</vt:i4>
      </vt:variant>
      <vt:variant>
        <vt:i4>107</vt:i4>
      </vt:variant>
      <vt:variant>
        <vt:i4>0</vt:i4>
      </vt:variant>
      <vt:variant>
        <vt:i4>5</vt:i4>
      </vt:variant>
      <vt:variant>
        <vt:lpwstr/>
      </vt:variant>
      <vt:variant>
        <vt:lpwstr>_Toc341024641</vt:lpwstr>
      </vt:variant>
      <vt:variant>
        <vt:i4>1245238</vt:i4>
      </vt:variant>
      <vt:variant>
        <vt:i4>101</vt:i4>
      </vt:variant>
      <vt:variant>
        <vt:i4>0</vt:i4>
      </vt:variant>
      <vt:variant>
        <vt:i4>5</vt:i4>
      </vt:variant>
      <vt:variant>
        <vt:lpwstr/>
      </vt:variant>
      <vt:variant>
        <vt:lpwstr>_Toc341024640</vt:lpwstr>
      </vt:variant>
      <vt:variant>
        <vt:i4>1310774</vt:i4>
      </vt:variant>
      <vt:variant>
        <vt:i4>95</vt:i4>
      </vt:variant>
      <vt:variant>
        <vt:i4>0</vt:i4>
      </vt:variant>
      <vt:variant>
        <vt:i4>5</vt:i4>
      </vt:variant>
      <vt:variant>
        <vt:lpwstr/>
      </vt:variant>
      <vt:variant>
        <vt:lpwstr>_Toc341024639</vt:lpwstr>
      </vt:variant>
      <vt:variant>
        <vt:i4>1310774</vt:i4>
      </vt:variant>
      <vt:variant>
        <vt:i4>89</vt:i4>
      </vt:variant>
      <vt:variant>
        <vt:i4>0</vt:i4>
      </vt:variant>
      <vt:variant>
        <vt:i4>5</vt:i4>
      </vt:variant>
      <vt:variant>
        <vt:lpwstr/>
      </vt:variant>
      <vt:variant>
        <vt:lpwstr>_Toc341024638</vt:lpwstr>
      </vt:variant>
      <vt:variant>
        <vt:i4>1310774</vt:i4>
      </vt:variant>
      <vt:variant>
        <vt:i4>83</vt:i4>
      </vt:variant>
      <vt:variant>
        <vt:i4>0</vt:i4>
      </vt:variant>
      <vt:variant>
        <vt:i4>5</vt:i4>
      </vt:variant>
      <vt:variant>
        <vt:lpwstr/>
      </vt:variant>
      <vt:variant>
        <vt:lpwstr>_Toc341024637</vt:lpwstr>
      </vt:variant>
      <vt:variant>
        <vt:i4>1310774</vt:i4>
      </vt:variant>
      <vt:variant>
        <vt:i4>77</vt:i4>
      </vt:variant>
      <vt:variant>
        <vt:i4>0</vt:i4>
      </vt:variant>
      <vt:variant>
        <vt:i4>5</vt:i4>
      </vt:variant>
      <vt:variant>
        <vt:lpwstr/>
      </vt:variant>
      <vt:variant>
        <vt:lpwstr>_Toc341024636</vt:lpwstr>
      </vt:variant>
      <vt:variant>
        <vt:i4>1310774</vt:i4>
      </vt:variant>
      <vt:variant>
        <vt:i4>71</vt:i4>
      </vt:variant>
      <vt:variant>
        <vt:i4>0</vt:i4>
      </vt:variant>
      <vt:variant>
        <vt:i4>5</vt:i4>
      </vt:variant>
      <vt:variant>
        <vt:lpwstr/>
      </vt:variant>
      <vt:variant>
        <vt:lpwstr>_Toc341024635</vt:lpwstr>
      </vt:variant>
      <vt:variant>
        <vt:i4>1310774</vt:i4>
      </vt:variant>
      <vt:variant>
        <vt:i4>65</vt:i4>
      </vt:variant>
      <vt:variant>
        <vt:i4>0</vt:i4>
      </vt:variant>
      <vt:variant>
        <vt:i4>5</vt:i4>
      </vt:variant>
      <vt:variant>
        <vt:lpwstr/>
      </vt:variant>
      <vt:variant>
        <vt:lpwstr>_Toc341024634</vt:lpwstr>
      </vt:variant>
      <vt:variant>
        <vt:i4>1310774</vt:i4>
      </vt:variant>
      <vt:variant>
        <vt:i4>59</vt:i4>
      </vt:variant>
      <vt:variant>
        <vt:i4>0</vt:i4>
      </vt:variant>
      <vt:variant>
        <vt:i4>5</vt:i4>
      </vt:variant>
      <vt:variant>
        <vt:lpwstr/>
      </vt:variant>
      <vt:variant>
        <vt:lpwstr>_Toc341024633</vt:lpwstr>
      </vt:variant>
      <vt:variant>
        <vt:i4>1310774</vt:i4>
      </vt:variant>
      <vt:variant>
        <vt:i4>53</vt:i4>
      </vt:variant>
      <vt:variant>
        <vt:i4>0</vt:i4>
      </vt:variant>
      <vt:variant>
        <vt:i4>5</vt:i4>
      </vt:variant>
      <vt:variant>
        <vt:lpwstr/>
      </vt:variant>
      <vt:variant>
        <vt:lpwstr>_Toc341024632</vt:lpwstr>
      </vt:variant>
      <vt:variant>
        <vt:i4>1310774</vt:i4>
      </vt:variant>
      <vt:variant>
        <vt:i4>47</vt:i4>
      </vt:variant>
      <vt:variant>
        <vt:i4>0</vt:i4>
      </vt:variant>
      <vt:variant>
        <vt:i4>5</vt:i4>
      </vt:variant>
      <vt:variant>
        <vt:lpwstr/>
      </vt:variant>
      <vt:variant>
        <vt:lpwstr>_Toc341024631</vt:lpwstr>
      </vt:variant>
      <vt:variant>
        <vt:i4>1310774</vt:i4>
      </vt:variant>
      <vt:variant>
        <vt:i4>41</vt:i4>
      </vt:variant>
      <vt:variant>
        <vt:i4>0</vt:i4>
      </vt:variant>
      <vt:variant>
        <vt:i4>5</vt:i4>
      </vt:variant>
      <vt:variant>
        <vt:lpwstr/>
      </vt:variant>
      <vt:variant>
        <vt:lpwstr>_Toc341024630</vt:lpwstr>
      </vt:variant>
      <vt:variant>
        <vt:i4>1376310</vt:i4>
      </vt:variant>
      <vt:variant>
        <vt:i4>35</vt:i4>
      </vt:variant>
      <vt:variant>
        <vt:i4>0</vt:i4>
      </vt:variant>
      <vt:variant>
        <vt:i4>5</vt:i4>
      </vt:variant>
      <vt:variant>
        <vt:lpwstr/>
      </vt:variant>
      <vt:variant>
        <vt:lpwstr>_Toc341024629</vt:lpwstr>
      </vt:variant>
      <vt:variant>
        <vt:i4>1376310</vt:i4>
      </vt:variant>
      <vt:variant>
        <vt:i4>29</vt:i4>
      </vt:variant>
      <vt:variant>
        <vt:i4>0</vt:i4>
      </vt:variant>
      <vt:variant>
        <vt:i4>5</vt:i4>
      </vt:variant>
      <vt:variant>
        <vt:lpwstr/>
      </vt:variant>
      <vt:variant>
        <vt:lpwstr>_Toc341024628</vt:lpwstr>
      </vt:variant>
      <vt:variant>
        <vt:i4>1376310</vt:i4>
      </vt:variant>
      <vt:variant>
        <vt:i4>23</vt:i4>
      </vt:variant>
      <vt:variant>
        <vt:i4>0</vt:i4>
      </vt:variant>
      <vt:variant>
        <vt:i4>5</vt:i4>
      </vt:variant>
      <vt:variant>
        <vt:lpwstr/>
      </vt:variant>
      <vt:variant>
        <vt:lpwstr>_Toc341024627</vt:lpwstr>
      </vt:variant>
      <vt:variant>
        <vt:i4>1376310</vt:i4>
      </vt:variant>
      <vt:variant>
        <vt:i4>17</vt:i4>
      </vt:variant>
      <vt:variant>
        <vt:i4>0</vt:i4>
      </vt:variant>
      <vt:variant>
        <vt:i4>5</vt:i4>
      </vt:variant>
      <vt:variant>
        <vt:lpwstr/>
      </vt:variant>
      <vt:variant>
        <vt:lpwstr>_Toc341024626</vt:lpwstr>
      </vt:variant>
      <vt:variant>
        <vt:i4>1376310</vt:i4>
      </vt:variant>
      <vt:variant>
        <vt:i4>11</vt:i4>
      </vt:variant>
      <vt:variant>
        <vt:i4>0</vt:i4>
      </vt:variant>
      <vt:variant>
        <vt:i4>5</vt:i4>
      </vt:variant>
      <vt:variant>
        <vt:lpwstr/>
      </vt:variant>
      <vt:variant>
        <vt:lpwstr>_Toc341024625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Programstyringsdokument</dc:title>
  <dc:subject>Effektiv ejendomsforvaltning og genbrug af ejendomsdata</dc:subject>
  <dc:creator>pll-MBBL</dc:creator>
  <cp:keywords>MBBL-REF: 2012-271</cp:keywords>
  <cp:lastModifiedBy>Jonas Hermann Damsbo</cp:lastModifiedBy>
  <cp:revision>3</cp:revision>
  <cp:lastPrinted>2013-05-15T14:49:00Z</cp:lastPrinted>
  <dcterms:created xsi:type="dcterms:W3CDTF">2017-12-11T12:10:00Z</dcterms:created>
  <dcterms:modified xsi:type="dcterms:W3CDTF">2017-12-11T12:10:00Z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