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Grunddataprogrammet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Pr="00AC5579" w:rsidRDefault="00EF7920" w:rsidP="00104568">
      <w:pPr>
        <w:pStyle w:val="Brdtekst"/>
      </w:pPr>
      <w:r w:rsidRPr="00AC5579">
        <w:br/>
      </w:r>
    </w:p>
    <w:bookmarkStart w:id="1" w:name="_GoBack"/>
    <w:p w:rsidR="003421A0" w:rsidRPr="00AC5579" w:rsidRDefault="00352CCA" w:rsidP="0063718D">
      <w:pPr>
        <w:pStyle w:val="Brdtekst"/>
        <w:rPr>
          <w:sz w:val="40"/>
          <w:szCs w:val="40"/>
        </w:rPr>
      </w:pPr>
      <w:r>
        <w:rPr>
          <w:sz w:val="40"/>
          <w:szCs w:val="40"/>
        </w:rPr>
        <w:fldChar w:fldCharType="begin"/>
      </w:r>
      <w:r>
        <w:rPr>
          <w:sz w:val="40"/>
          <w:szCs w:val="40"/>
        </w:rPr>
        <w:instrText xml:space="preserve"> TITLE  "Ejendomsdataprogrammet - Implementeringsplan"  \* MERGEFORMAT </w:instrText>
      </w:r>
      <w:r>
        <w:rPr>
          <w:sz w:val="40"/>
          <w:szCs w:val="40"/>
        </w:rPr>
        <w:fldChar w:fldCharType="separate"/>
      </w:r>
      <w:r w:rsidR="004A79B7">
        <w:rPr>
          <w:sz w:val="40"/>
          <w:szCs w:val="40"/>
        </w:rPr>
        <w:t>Implementeringsplan</w:t>
      </w:r>
      <w:r>
        <w:rPr>
          <w:sz w:val="40"/>
          <w:szCs w:val="40"/>
        </w:rPr>
        <w:fldChar w:fldCharType="end"/>
      </w:r>
      <w:r w:rsidR="00D4385E">
        <w:rPr>
          <w:sz w:val="40"/>
          <w:szCs w:val="40"/>
        </w:rPr>
        <w:t xml:space="preserve"> for GD1 - Ejendomsdataprogrammet</w:t>
      </w:r>
      <w:bookmarkEnd w:id="1"/>
    </w:p>
    <w:p w:rsidR="00EF7920" w:rsidRPr="00AC5579" w:rsidRDefault="00EF7920" w:rsidP="00EF7920">
      <w:pPr>
        <w:pStyle w:val="Brdtekst"/>
      </w:pPr>
    </w:p>
    <w:p w:rsidR="00EF7920" w:rsidRDefault="00EF7920"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2144DF" w:rsidRDefault="002144DF" w:rsidP="00F87B4D">
      <w:pPr>
        <w:pStyle w:val="Brdtekst"/>
      </w:pPr>
    </w:p>
    <w:p w:rsidR="00EC6695" w:rsidRDefault="00EC6695" w:rsidP="00F87B4D">
      <w:pPr>
        <w:pStyle w:val="Brdtekst"/>
      </w:pPr>
    </w:p>
    <w:p w:rsidR="00EC6695" w:rsidRPr="00AC5579" w:rsidRDefault="00EC6695"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D4385E">
        <w:t>1.6</w:t>
      </w:r>
    </w:p>
    <w:p w:rsidR="007050C9" w:rsidRPr="00AC5579" w:rsidRDefault="007050C9" w:rsidP="007050C9">
      <w:pPr>
        <w:pStyle w:val="Brdtekst"/>
      </w:pPr>
      <w:bookmarkStart w:id="5" w:name="_Toc60202580"/>
      <w:bookmarkStart w:id="6" w:name="_Toc60202702"/>
      <w:bookmarkStart w:id="7" w:name="_Toc60203163"/>
      <w:r w:rsidRPr="00AC5579">
        <w:t xml:space="preserve">Status: </w:t>
      </w:r>
      <w:r w:rsidR="00EA3ECF">
        <w:t>Ud</w:t>
      </w:r>
      <w:r w:rsidR="00EC6695">
        <w:t>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D4385E">
        <w:rPr>
          <w:noProof/>
        </w:rPr>
        <w:t>17. oktober 2014</w:t>
      </w:r>
      <w:r w:rsidR="003A0904" w:rsidRPr="00AC5579">
        <w:fldChar w:fldCharType="end"/>
      </w:r>
    </w:p>
    <w:p w:rsidR="00663949" w:rsidRPr="00AC5579" w:rsidRDefault="009A3781" w:rsidP="002261C8">
      <w:pPr>
        <w:pStyle w:val="TitelOverskrift2"/>
        <w:rPr>
          <w:lang w:val="da-DK"/>
        </w:rPr>
      </w:pPr>
      <w:r w:rsidRPr="00AC5579">
        <w:rPr>
          <w:lang w:val="da-DK"/>
        </w:rPr>
        <w:br w:type="page"/>
      </w:r>
      <w:r w:rsidR="00663949"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6C2BD0">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173412" w:rsidRPr="00AC5579" w:rsidTr="00CD518A">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0.8</w:t>
            </w:r>
            <w:proofErr w:type="gramEnd"/>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14.04.2013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Resultater fra workshop 9. april samt reviderede arbejdspakker og produktbeskrivelser indarbejdet.</w:t>
            </w:r>
            <w:r>
              <w:br/>
              <w:t>Planen klargjort til skriftlig kvalitetssikring.</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S&amp;D KH</w:t>
            </w:r>
          </w:p>
        </w:tc>
      </w:tr>
      <w:tr w:rsidR="00173412" w:rsidRPr="00AC5579" w:rsidTr="00CD518A">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0.9</w:t>
            </w:r>
            <w:proofErr w:type="gramEnd"/>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17.04.2013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 xml:space="preserve">Skriftlige kommentarer samt kommentarer fra workshop </w:t>
            </w:r>
            <w:proofErr w:type="gramStart"/>
            <w:r>
              <w:t>17.04.2013</w:t>
            </w:r>
            <w:proofErr w:type="gramEnd"/>
            <w:r>
              <w:t xml:space="preserve"> indarbejdet.</w:t>
            </w:r>
            <w:r>
              <w:br/>
              <w:t>Klargjort til behandling på styregruppemøde.</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S&amp;D KH</w:t>
            </w:r>
          </w:p>
        </w:tc>
      </w:tr>
      <w:tr w:rsidR="00173412" w:rsidRPr="00AC5579" w:rsidTr="00CD518A">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r>
              <w:t>1.0</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14.05.2013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Godkendt af styregruppen</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MBBL PLL</w:t>
            </w:r>
          </w:p>
        </w:tc>
      </w:tr>
      <w:tr w:rsidR="00173412" w:rsidRPr="00AC5579" w:rsidTr="00CD518A">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r>
              <w:t>1.1</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27.05.2013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Udbygget plan ift. Tinglysningsretten (afsnit 5.5), KL/KOMBIT (afsnit 5.6) samt en mindre tekstjustering ift. SKAT (afsnit 5.7).</w:t>
            </w:r>
            <w:r>
              <w:br/>
              <w:t>Tværgående test indplaceret i henhold til den fælles teststrategi.</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S&amp;D KH</w:t>
            </w:r>
          </w:p>
        </w:tc>
      </w:tr>
      <w:tr w:rsidR="00173412" w:rsidRPr="00AC5579" w:rsidTr="00CD518A">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r>
              <w:t>1.2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jc w:val="center"/>
            </w:pPr>
            <w:proofErr w:type="gramStart"/>
            <w:r>
              <w:t>29.05.2013</w:t>
            </w:r>
            <w:proofErr w:type="gramEnd"/>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Godkendt af styregruppen</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173412" w:rsidRDefault="00173412" w:rsidP="00CD518A">
            <w:pPr>
              <w:pStyle w:val="BrdtekstTabel"/>
            </w:pPr>
            <w:r>
              <w:t>MBBL PLL</w:t>
            </w:r>
          </w:p>
        </w:tc>
      </w:tr>
      <w:tr w:rsidR="008E25E8" w:rsidRPr="00AC5579">
        <w:tc>
          <w:tcPr>
            <w:tcW w:w="881" w:type="dxa"/>
            <w:tcMar>
              <w:top w:w="57" w:type="dxa"/>
              <w:left w:w="85" w:type="dxa"/>
              <w:bottom w:w="57" w:type="dxa"/>
              <w:right w:w="85" w:type="dxa"/>
            </w:tcMar>
          </w:tcPr>
          <w:p w:rsidR="008E25E8" w:rsidRDefault="00F616BC" w:rsidP="006C2BD0">
            <w:pPr>
              <w:pStyle w:val="BrdtekstTabel"/>
              <w:jc w:val="center"/>
            </w:pPr>
            <w:r>
              <w:t>1</w:t>
            </w:r>
            <w:r w:rsidR="008E25E8">
              <w:t>.</w:t>
            </w:r>
            <w:r>
              <w:t>5</w:t>
            </w:r>
          </w:p>
        </w:tc>
        <w:tc>
          <w:tcPr>
            <w:tcW w:w="1246" w:type="dxa"/>
            <w:tcMar>
              <w:top w:w="57" w:type="dxa"/>
              <w:left w:w="85" w:type="dxa"/>
              <w:bottom w:w="57" w:type="dxa"/>
              <w:right w:w="85" w:type="dxa"/>
            </w:tcMar>
          </w:tcPr>
          <w:p w:rsidR="008E25E8" w:rsidRDefault="004A79B7" w:rsidP="006C2BD0">
            <w:pPr>
              <w:pStyle w:val="BrdtekstTabel"/>
              <w:jc w:val="center"/>
            </w:pPr>
            <w:r>
              <w:t>15</w:t>
            </w:r>
            <w:r w:rsidR="00DD0AB0">
              <w:t>-10-2014</w:t>
            </w:r>
          </w:p>
        </w:tc>
        <w:tc>
          <w:tcPr>
            <w:tcW w:w="5103" w:type="dxa"/>
            <w:tcMar>
              <w:top w:w="57" w:type="dxa"/>
              <w:left w:w="85" w:type="dxa"/>
              <w:bottom w:w="57" w:type="dxa"/>
              <w:right w:w="85" w:type="dxa"/>
            </w:tcMar>
          </w:tcPr>
          <w:p w:rsidR="008E25E8" w:rsidRDefault="00DD0AB0" w:rsidP="004A79B7">
            <w:pPr>
              <w:pStyle w:val="BrdtekstTabel"/>
            </w:pPr>
            <w:r>
              <w:t xml:space="preserve">Grundversion </w:t>
            </w:r>
            <w:r w:rsidR="00173412">
              <w:t>til implementeringsplan med</w:t>
            </w:r>
            <w:r w:rsidR="004A79B7">
              <w:t xml:space="preserve"> justeret </w:t>
            </w:r>
            <w:r w:rsidR="00173412">
              <w:t>strukturering</w:t>
            </w:r>
            <w:r>
              <w:t xml:space="preserve"> </w:t>
            </w:r>
            <w:r w:rsidR="004A79B7">
              <w:t>samt udkast til beskrivelser.</w:t>
            </w:r>
          </w:p>
        </w:tc>
        <w:tc>
          <w:tcPr>
            <w:tcW w:w="1275" w:type="dxa"/>
            <w:tcMar>
              <w:top w:w="57" w:type="dxa"/>
              <w:left w:w="85" w:type="dxa"/>
              <w:bottom w:w="57" w:type="dxa"/>
              <w:right w:w="85" w:type="dxa"/>
            </w:tcMar>
          </w:tcPr>
          <w:p w:rsidR="008E25E8" w:rsidRDefault="00DD0AB0" w:rsidP="0041601E">
            <w:pPr>
              <w:pStyle w:val="BrdtekstTabel"/>
            </w:pPr>
            <w:r>
              <w:t>S&amp;D KH</w:t>
            </w:r>
          </w:p>
        </w:tc>
      </w:tr>
      <w:tr w:rsidR="002166CB" w:rsidRPr="00AC5579">
        <w:tc>
          <w:tcPr>
            <w:tcW w:w="881" w:type="dxa"/>
            <w:tcMar>
              <w:top w:w="57" w:type="dxa"/>
              <w:left w:w="85" w:type="dxa"/>
              <w:bottom w:w="57" w:type="dxa"/>
              <w:right w:w="85" w:type="dxa"/>
            </w:tcMar>
          </w:tcPr>
          <w:p w:rsidR="002166CB" w:rsidRDefault="00B37557" w:rsidP="006C2BD0">
            <w:pPr>
              <w:pStyle w:val="BrdtekstTabel"/>
              <w:jc w:val="center"/>
            </w:pPr>
            <w:r>
              <w:t>1.6</w:t>
            </w:r>
          </w:p>
        </w:tc>
        <w:tc>
          <w:tcPr>
            <w:tcW w:w="1246" w:type="dxa"/>
            <w:tcMar>
              <w:top w:w="57" w:type="dxa"/>
              <w:left w:w="85" w:type="dxa"/>
              <w:bottom w:w="57" w:type="dxa"/>
              <w:right w:w="85" w:type="dxa"/>
            </w:tcMar>
          </w:tcPr>
          <w:p w:rsidR="002166CB" w:rsidRDefault="00B37557" w:rsidP="006C2BD0">
            <w:pPr>
              <w:pStyle w:val="BrdtekstTabel"/>
              <w:jc w:val="center"/>
            </w:pPr>
            <w:r>
              <w:t>17-10-2014</w:t>
            </w:r>
          </w:p>
        </w:tc>
        <w:tc>
          <w:tcPr>
            <w:tcW w:w="5103" w:type="dxa"/>
            <w:tcMar>
              <w:top w:w="57" w:type="dxa"/>
              <w:left w:w="85" w:type="dxa"/>
              <w:bottom w:w="57" w:type="dxa"/>
              <w:right w:w="85" w:type="dxa"/>
            </w:tcMar>
          </w:tcPr>
          <w:p w:rsidR="002166CB" w:rsidRDefault="00B37557" w:rsidP="00917944">
            <w:pPr>
              <w:pStyle w:val="BrdtekstTabel"/>
            </w:pPr>
            <w:r>
              <w:t>Enkelte justeringer</w:t>
            </w:r>
          </w:p>
        </w:tc>
        <w:tc>
          <w:tcPr>
            <w:tcW w:w="1275" w:type="dxa"/>
            <w:tcMar>
              <w:top w:w="57" w:type="dxa"/>
              <w:left w:w="85" w:type="dxa"/>
              <w:bottom w:w="57" w:type="dxa"/>
              <w:right w:w="85" w:type="dxa"/>
            </w:tcMar>
          </w:tcPr>
          <w:p w:rsidR="002166CB" w:rsidRDefault="00B37557" w:rsidP="0041601E">
            <w:pPr>
              <w:pStyle w:val="BrdtekstTabel"/>
            </w:pPr>
            <w:r>
              <w:t>MBBL ALE</w:t>
            </w:r>
          </w:p>
        </w:tc>
      </w:tr>
    </w:tbl>
    <w:p w:rsidR="00CD518A" w:rsidRPr="00CD518A" w:rsidRDefault="00CD518A" w:rsidP="00CD518A"/>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8" w:name="_Toc55190626"/>
    <w:bookmarkEnd w:id="0"/>
    <w:p w:rsidR="00794826"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401161344" w:history="1">
        <w:r w:rsidR="00794826" w:rsidRPr="001B4336">
          <w:rPr>
            <w:rStyle w:val="Hyperlink"/>
            <w:noProof/>
          </w:rPr>
          <w:t>1.</w:t>
        </w:r>
        <w:r w:rsidR="00794826">
          <w:rPr>
            <w:rFonts w:asciiTheme="minorHAnsi" w:eastAsiaTheme="minorEastAsia" w:hAnsiTheme="minorHAnsi" w:cstheme="minorBidi"/>
            <w:b w:val="0"/>
            <w:bCs w:val="0"/>
            <w:caps w:val="0"/>
            <w:noProof/>
            <w:sz w:val="22"/>
            <w:szCs w:val="22"/>
          </w:rPr>
          <w:tab/>
        </w:r>
        <w:r w:rsidR="00794826" w:rsidRPr="001B4336">
          <w:rPr>
            <w:rStyle w:val="Hyperlink"/>
            <w:noProof/>
          </w:rPr>
          <w:t>Indledning</w:t>
        </w:r>
        <w:r w:rsidR="00794826">
          <w:rPr>
            <w:noProof/>
            <w:webHidden/>
          </w:rPr>
          <w:tab/>
        </w:r>
        <w:r w:rsidR="00794826">
          <w:rPr>
            <w:noProof/>
            <w:webHidden/>
          </w:rPr>
          <w:fldChar w:fldCharType="begin"/>
        </w:r>
        <w:r w:rsidR="00794826">
          <w:rPr>
            <w:noProof/>
            <w:webHidden/>
          </w:rPr>
          <w:instrText xml:space="preserve"> PAGEREF _Toc401161344 \h </w:instrText>
        </w:r>
        <w:r w:rsidR="00794826">
          <w:rPr>
            <w:noProof/>
            <w:webHidden/>
          </w:rPr>
        </w:r>
        <w:r w:rsidR="00794826">
          <w:rPr>
            <w:noProof/>
            <w:webHidden/>
          </w:rPr>
          <w:fldChar w:fldCharType="separate"/>
        </w:r>
        <w:r w:rsidR="009034F6">
          <w:rPr>
            <w:noProof/>
            <w:webHidden/>
          </w:rPr>
          <w:t>4</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45" w:history="1">
        <w:r w:rsidR="00794826" w:rsidRPr="001B4336">
          <w:rPr>
            <w:rStyle w:val="Hyperlink"/>
            <w:noProof/>
          </w:rPr>
          <w:t>1.1</w:t>
        </w:r>
        <w:r w:rsidR="00794826">
          <w:rPr>
            <w:rFonts w:asciiTheme="minorHAnsi" w:eastAsiaTheme="minorEastAsia" w:hAnsiTheme="minorHAnsi" w:cstheme="minorBidi"/>
            <w:b w:val="0"/>
            <w:smallCaps w:val="0"/>
            <w:noProof/>
            <w:szCs w:val="22"/>
          </w:rPr>
          <w:tab/>
        </w:r>
        <w:r w:rsidR="00794826" w:rsidRPr="001B4336">
          <w:rPr>
            <w:rStyle w:val="Hyperlink"/>
            <w:noProof/>
          </w:rPr>
          <w:t>Baggrund</w:t>
        </w:r>
        <w:r w:rsidR="00794826">
          <w:rPr>
            <w:noProof/>
            <w:webHidden/>
          </w:rPr>
          <w:tab/>
        </w:r>
        <w:r w:rsidR="00794826">
          <w:rPr>
            <w:noProof/>
            <w:webHidden/>
          </w:rPr>
          <w:fldChar w:fldCharType="begin"/>
        </w:r>
        <w:r w:rsidR="00794826">
          <w:rPr>
            <w:noProof/>
            <w:webHidden/>
          </w:rPr>
          <w:instrText xml:space="preserve"> PAGEREF _Toc401161345 \h </w:instrText>
        </w:r>
        <w:r w:rsidR="00794826">
          <w:rPr>
            <w:noProof/>
            <w:webHidden/>
          </w:rPr>
        </w:r>
        <w:r w:rsidR="00794826">
          <w:rPr>
            <w:noProof/>
            <w:webHidden/>
          </w:rPr>
          <w:fldChar w:fldCharType="separate"/>
        </w:r>
        <w:r w:rsidR="009034F6">
          <w:rPr>
            <w:noProof/>
            <w:webHidden/>
          </w:rPr>
          <w:t>4</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46" w:history="1">
        <w:r w:rsidR="00794826" w:rsidRPr="001B4336">
          <w:rPr>
            <w:rStyle w:val="Hyperlink"/>
            <w:noProof/>
          </w:rPr>
          <w:t>1.2</w:t>
        </w:r>
        <w:r w:rsidR="00794826">
          <w:rPr>
            <w:rFonts w:asciiTheme="minorHAnsi" w:eastAsiaTheme="minorEastAsia" w:hAnsiTheme="minorHAnsi" w:cstheme="minorBidi"/>
            <w:b w:val="0"/>
            <w:smallCaps w:val="0"/>
            <w:noProof/>
            <w:szCs w:val="22"/>
          </w:rPr>
          <w:tab/>
        </w:r>
        <w:r w:rsidR="00794826" w:rsidRPr="001B4336">
          <w:rPr>
            <w:rStyle w:val="Hyperlink"/>
            <w:noProof/>
          </w:rPr>
          <w:t>Formål og anvendelse</w:t>
        </w:r>
        <w:r w:rsidR="00794826">
          <w:rPr>
            <w:noProof/>
            <w:webHidden/>
          </w:rPr>
          <w:tab/>
        </w:r>
        <w:r w:rsidR="00794826">
          <w:rPr>
            <w:noProof/>
            <w:webHidden/>
          </w:rPr>
          <w:fldChar w:fldCharType="begin"/>
        </w:r>
        <w:r w:rsidR="00794826">
          <w:rPr>
            <w:noProof/>
            <w:webHidden/>
          </w:rPr>
          <w:instrText xml:space="preserve"> PAGEREF _Toc401161346 \h </w:instrText>
        </w:r>
        <w:r w:rsidR="00794826">
          <w:rPr>
            <w:noProof/>
            <w:webHidden/>
          </w:rPr>
        </w:r>
        <w:r w:rsidR="00794826">
          <w:rPr>
            <w:noProof/>
            <w:webHidden/>
          </w:rPr>
          <w:fldChar w:fldCharType="separate"/>
        </w:r>
        <w:r w:rsidR="009034F6">
          <w:rPr>
            <w:noProof/>
            <w:webHidden/>
          </w:rPr>
          <w:t>5</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47" w:history="1">
        <w:r w:rsidR="00794826" w:rsidRPr="001B4336">
          <w:rPr>
            <w:rStyle w:val="Hyperlink"/>
            <w:noProof/>
          </w:rPr>
          <w:t>1.2.1</w:t>
        </w:r>
        <w:r w:rsidR="00794826">
          <w:rPr>
            <w:rFonts w:asciiTheme="minorHAnsi" w:eastAsiaTheme="minorEastAsia" w:hAnsiTheme="minorHAnsi" w:cstheme="minorBidi"/>
            <w:iCs w:val="0"/>
            <w:noProof/>
            <w:szCs w:val="22"/>
          </w:rPr>
          <w:tab/>
        </w:r>
        <w:r w:rsidR="00794826" w:rsidRPr="001B4336">
          <w:rPr>
            <w:rStyle w:val="Hyperlink"/>
            <w:noProof/>
          </w:rPr>
          <w:t>Formål</w:t>
        </w:r>
        <w:r w:rsidR="00794826">
          <w:rPr>
            <w:noProof/>
            <w:webHidden/>
          </w:rPr>
          <w:tab/>
        </w:r>
        <w:r w:rsidR="00794826">
          <w:rPr>
            <w:noProof/>
            <w:webHidden/>
          </w:rPr>
          <w:fldChar w:fldCharType="begin"/>
        </w:r>
        <w:r w:rsidR="00794826">
          <w:rPr>
            <w:noProof/>
            <w:webHidden/>
          </w:rPr>
          <w:instrText xml:space="preserve"> PAGEREF _Toc401161347 \h </w:instrText>
        </w:r>
        <w:r w:rsidR="00794826">
          <w:rPr>
            <w:noProof/>
            <w:webHidden/>
          </w:rPr>
        </w:r>
        <w:r w:rsidR="00794826">
          <w:rPr>
            <w:noProof/>
            <w:webHidden/>
          </w:rPr>
          <w:fldChar w:fldCharType="separate"/>
        </w:r>
        <w:r w:rsidR="009034F6">
          <w:rPr>
            <w:noProof/>
            <w:webHidden/>
          </w:rPr>
          <w:t>5</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48" w:history="1">
        <w:r w:rsidR="00794826" w:rsidRPr="001B4336">
          <w:rPr>
            <w:rStyle w:val="Hyperlink"/>
            <w:noProof/>
          </w:rPr>
          <w:t>1.2.2</w:t>
        </w:r>
        <w:r w:rsidR="00794826">
          <w:rPr>
            <w:rFonts w:asciiTheme="minorHAnsi" w:eastAsiaTheme="minorEastAsia" w:hAnsiTheme="minorHAnsi" w:cstheme="minorBidi"/>
            <w:iCs w:val="0"/>
            <w:noProof/>
            <w:szCs w:val="22"/>
          </w:rPr>
          <w:tab/>
        </w:r>
        <w:r w:rsidR="00794826" w:rsidRPr="001B4336">
          <w:rPr>
            <w:rStyle w:val="Hyperlink"/>
            <w:noProof/>
          </w:rPr>
          <w:t>Anvendelse</w:t>
        </w:r>
        <w:r w:rsidR="00794826">
          <w:rPr>
            <w:noProof/>
            <w:webHidden/>
          </w:rPr>
          <w:tab/>
        </w:r>
        <w:r w:rsidR="00794826">
          <w:rPr>
            <w:noProof/>
            <w:webHidden/>
          </w:rPr>
          <w:fldChar w:fldCharType="begin"/>
        </w:r>
        <w:r w:rsidR="00794826">
          <w:rPr>
            <w:noProof/>
            <w:webHidden/>
          </w:rPr>
          <w:instrText xml:space="preserve"> PAGEREF _Toc401161348 \h </w:instrText>
        </w:r>
        <w:r w:rsidR="00794826">
          <w:rPr>
            <w:noProof/>
            <w:webHidden/>
          </w:rPr>
        </w:r>
        <w:r w:rsidR="00794826">
          <w:rPr>
            <w:noProof/>
            <w:webHidden/>
          </w:rPr>
          <w:fldChar w:fldCharType="separate"/>
        </w:r>
        <w:r w:rsidR="009034F6">
          <w:rPr>
            <w:noProof/>
            <w:webHidden/>
          </w:rPr>
          <w:t>5</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49" w:history="1">
        <w:r w:rsidR="00794826" w:rsidRPr="001B4336">
          <w:rPr>
            <w:rStyle w:val="Hyperlink"/>
            <w:noProof/>
          </w:rPr>
          <w:t>1.2.3</w:t>
        </w:r>
        <w:r w:rsidR="00794826">
          <w:rPr>
            <w:rFonts w:asciiTheme="minorHAnsi" w:eastAsiaTheme="minorEastAsia" w:hAnsiTheme="minorHAnsi" w:cstheme="minorBidi"/>
            <w:iCs w:val="0"/>
            <w:noProof/>
            <w:szCs w:val="22"/>
          </w:rPr>
          <w:tab/>
        </w:r>
        <w:r w:rsidR="00794826" w:rsidRPr="001B4336">
          <w:rPr>
            <w:rStyle w:val="Hyperlink"/>
            <w:noProof/>
          </w:rPr>
          <w:t>Vedligeholdelse af implementeringsplanen</w:t>
        </w:r>
        <w:r w:rsidR="00794826">
          <w:rPr>
            <w:noProof/>
            <w:webHidden/>
          </w:rPr>
          <w:tab/>
        </w:r>
        <w:r w:rsidR="00794826">
          <w:rPr>
            <w:noProof/>
            <w:webHidden/>
          </w:rPr>
          <w:fldChar w:fldCharType="begin"/>
        </w:r>
        <w:r w:rsidR="00794826">
          <w:rPr>
            <w:noProof/>
            <w:webHidden/>
          </w:rPr>
          <w:instrText xml:space="preserve"> PAGEREF _Toc401161349 \h </w:instrText>
        </w:r>
        <w:r w:rsidR="00794826">
          <w:rPr>
            <w:noProof/>
            <w:webHidden/>
          </w:rPr>
        </w:r>
        <w:r w:rsidR="00794826">
          <w:rPr>
            <w:noProof/>
            <w:webHidden/>
          </w:rPr>
          <w:fldChar w:fldCharType="separate"/>
        </w:r>
        <w:r w:rsidR="009034F6">
          <w:rPr>
            <w:noProof/>
            <w:webHidden/>
          </w:rPr>
          <w:t>5</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0" w:history="1">
        <w:r w:rsidR="00794826" w:rsidRPr="001B4336">
          <w:rPr>
            <w:rStyle w:val="Hyperlink"/>
            <w:noProof/>
          </w:rPr>
          <w:t>1.2.4</w:t>
        </w:r>
        <w:r w:rsidR="00794826">
          <w:rPr>
            <w:rFonts w:asciiTheme="minorHAnsi" w:eastAsiaTheme="minorEastAsia" w:hAnsiTheme="minorHAnsi" w:cstheme="minorBidi"/>
            <w:iCs w:val="0"/>
            <w:noProof/>
            <w:szCs w:val="22"/>
          </w:rPr>
          <w:tab/>
        </w:r>
        <w:r w:rsidR="00794826" w:rsidRPr="001B4336">
          <w:rPr>
            <w:rStyle w:val="Hyperlink"/>
            <w:noProof/>
          </w:rPr>
          <w:t>Produktbaseret planlægning</w:t>
        </w:r>
        <w:r w:rsidR="00794826">
          <w:rPr>
            <w:noProof/>
            <w:webHidden/>
          </w:rPr>
          <w:tab/>
        </w:r>
        <w:r w:rsidR="00794826">
          <w:rPr>
            <w:noProof/>
            <w:webHidden/>
          </w:rPr>
          <w:fldChar w:fldCharType="begin"/>
        </w:r>
        <w:r w:rsidR="00794826">
          <w:rPr>
            <w:noProof/>
            <w:webHidden/>
          </w:rPr>
          <w:instrText xml:space="preserve"> PAGEREF _Toc401161350 \h </w:instrText>
        </w:r>
        <w:r w:rsidR="00794826">
          <w:rPr>
            <w:noProof/>
            <w:webHidden/>
          </w:rPr>
        </w:r>
        <w:r w:rsidR="00794826">
          <w:rPr>
            <w:noProof/>
            <w:webHidden/>
          </w:rPr>
          <w:fldChar w:fldCharType="separate"/>
        </w:r>
        <w:r w:rsidR="009034F6">
          <w:rPr>
            <w:noProof/>
            <w:webHidden/>
          </w:rPr>
          <w:t>6</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51" w:history="1">
        <w:r w:rsidR="00794826" w:rsidRPr="001B4336">
          <w:rPr>
            <w:rStyle w:val="Hyperlink"/>
            <w:noProof/>
          </w:rPr>
          <w:t>1.3</w:t>
        </w:r>
        <w:r w:rsidR="00794826">
          <w:rPr>
            <w:rFonts w:asciiTheme="minorHAnsi" w:eastAsiaTheme="minorEastAsia" w:hAnsiTheme="minorHAnsi" w:cstheme="minorBidi"/>
            <w:b w:val="0"/>
            <w:smallCaps w:val="0"/>
            <w:noProof/>
            <w:szCs w:val="22"/>
          </w:rPr>
          <w:tab/>
        </w:r>
        <w:r w:rsidR="00794826" w:rsidRPr="001B4336">
          <w:rPr>
            <w:rStyle w:val="Hyperlink"/>
            <w:noProof/>
          </w:rPr>
          <w:t>Vilkår og forudsætninger</w:t>
        </w:r>
        <w:r w:rsidR="00794826">
          <w:rPr>
            <w:noProof/>
            <w:webHidden/>
          </w:rPr>
          <w:tab/>
        </w:r>
        <w:r w:rsidR="00794826">
          <w:rPr>
            <w:noProof/>
            <w:webHidden/>
          </w:rPr>
          <w:fldChar w:fldCharType="begin"/>
        </w:r>
        <w:r w:rsidR="00794826">
          <w:rPr>
            <w:noProof/>
            <w:webHidden/>
          </w:rPr>
          <w:instrText xml:space="preserve"> PAGEREF _Toc401161351 \h </w:instrText>
        </w:r>
        <w:r w:rsidR="00794826">
          <w:rPr>
            <w:noProof/>
            <w:webHidden/>
          </w:rPr>
        </w:r>
        <w:r w:rsidR="00794826">
          <w:rPr>
            <w:noProof/>
            <w:webHidden/>
          </w:rPr>
          <w:fldChar w:fldCharType="separate"/>
        </w:r>
        <w:r w:rsidR="009034F6">
          <w:rPr>
            <w:noProof/>
            <w:webHidden/>
          </w:rPr>
          <w:t>6</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2" w:history="1">
        <w:r w:rsidR="00794826" w:rsidRPr="001B4336">
          <w:rPr>
            <w:rStyle w:val="Hyperlink"/>
            <w:noProof/>
          </w:rPr>
          <w:t>1.3.1</w:t>
        </w:r>
        <w:r w:rsidR="00794826">
          <w:rPr>
            <w:rFonts w:asciiTheme="minorHAnsi" w:eastAsiaTheme="minorEastAsia" w:hAnsiTheme="minorHAnsi" w:cstheme="minorBidi"/>
            <w:iCs w:val="0"/>
            <w:noProof/>
            <w:szCs w:val="22"/>
          </w:rPr>
          <w:tab/>
        </w:r>
        <w:r w:rsidR="00794826" w:rsidRPr="001B4336">
          <w:rPr>
            <w:rStyle w:val="Hyperlink"/>
            <w:noProof/>
          </w:rPr>
          <w:t>Løsningens vilkår</w:t>
        </w:r>
        <w:r w:rsidR="00794826">
          <w:rPr>
            <w:noProof/>
            <w:webHidden/>
          </w:rPr>
          <w:tab/>
        </w:r>
        <w:r w:rsidR="00794826">
          <w:rPr>
            <w:noProof/>
            <w:webHidden/>
          </w:rPr>
          <w:fldChar w:fldCharType="begin"/>
        </w:r>
        <w:r w:rsidR="00794826">
          <w:rPr>
            <w:noProof/>
            <w:webHidden/>
          </w:rPr>
          <w:instrText xml:space="preserve"> PAGEREF _Toc401161352 \h </w:instrText>
        </w:r>
        <w:r w:rsidR="00794826">
          <w:rPr>
            <w:noProof/>
            <w:webHidden/>
          </w:rPr>
        </w:r>
        <w:r w:rsidR="00794826">
          <w:rPr>
            <w:noProof/>
            <w:webHidden/>
          </w:rPr>
          <w:fldChar w:fldCharType="separate"/>
        </w:r>
        <w:r w:rsidR="009034F6">
          <w:rPr>
            <w:noProof/>
            <w:webHidden/>
          </w:rPr>
          <w:t>6</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3" w:history="1">
        <w:r w:rsidR="00794826" w:rsidRPr="001B4336">
          <w:rPr>
            <w:rStyle w:val="Hyperlink"/>
            <w:noProof/>
          </w:rPr>
          <w:t>1.3.2</w:t>
        </w:r>
        <w:r w:rsidR="00794826">
          <w:rPr>
            <w:rFonts w:asciiTheme="minorHAnsi" w:eastAsiaTheme="minorEastAsia" w:hAnsiTheme="minorHAnsi" w:cstheme="minorBidi"/>
            <w:iCs w:val="0"/>
            <w:noProof/>
            <w:szCs w:val="22"/>
          </w:rPr>
          <w:tab/>
        </w:r>
        <w:r w:rsidR="00794826" w:rsidRPr="001B4336">
          <w:rPr>
            <w:rStyle w:val="Hyperlink"/>
            <w:noProof/>
          </w:rPr>
          <w:t>Arkitekturmæssige vilkår</w:t>
        </w:r>
        <w:r w:rsidR="00794826">
          <w:rPr>
            <w:noProof/>
            <w:webHidden/>
          </w:rPr>
          <w:tab/>
        </w:r>
        <w:r w:rsidR="00794826">
          <w:rPr>
            <w:noProof/>
            <w:webHidden/>
          </w:rPr>
          <w:fldChar w:fldCharType="begin"/>
        </w:r>
        <w:r w:rsidR="00794826">
          <w:rPr>
            <w:noProof/>
            <w:webHidden/>
          </w:rPr>
          <w:instrText xml:space="preserve"> PAGEREF _Toc401161353 \h </w:instrText>
        </w:r>
        <w:r w:rsidR="00794826">
          <w:rPr>
            <w:noProof/>
            <w:webHidden/>
          </w:rPr>
        </w:r>
        <w:r w:rsidR="00794826">
          <w:rPr>
            <w:noProof/>
            <w:webHidden/>
          </w:rPr>
          <w:fldChar w:fldCharType="separate"/>
        </w:r>
        <w:r w:rsidR="009034F6">
          <w:rPr>
            <w:noProof/>
            <w:webHidden/>
          </w:rPr>
          <w:t>6</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4" w:history="1">
        <w:r w:rsidR="00794826" w:rsidRPr="001B4336">
          <w:rPr>
            <w:rStyle w:val="Hyperlink"/>
            <w:noProof/>
          </w:rPr>
          <w:t>1.3.3</w:t>
        </w:r>
        <w:r w:rsidR="00794826">
          <w:rPr>
            <w:rFonts w:asciiTheme="minorHAnsi" w:eastAsiaTheme="minorEastAsia" w:hAnsiTheme="minorHAnsi" w:cstheme="minorBidi"/>
            <w:iCs w:val="0"/>
            <w:noProof/>
            <w:szCs w:val="22"/>
          </w:rPr>
          <w:tab/>
        </w:r>
        <w:r w:rsidR="00794826" w:rsidRPr="001B4336">
          <w:rPr>
            <w:rStyle w:val="Hyperlink"/>
            <w:noProof/>
          </w:rPr>
          <w:t>Tidsmæssige vilkår</w:t>
        </w:r>
        <w:r w:rsidR="00794826">
          <w:rPr>
            <w:noProof/>
            <w:webHidden/>
          </w:rPr>
          <w:tab/>
        </w:r>
        <w:r w:rsidR="00794826">
          <w:rPr>
            <w:noProof/>
            <w:webHidden/>
          </w:rPr>
          <w:fldChar w:fldCharType="begin"/>
        </w:r>
        <w:r w:rsidR="00794826">
          <w:rPr>
            <w:noProof/>
            <w:webHidden/>
          </w:rPr>
          <w:instrText xml:space="preserve"> PAGEREF _Toc401161354 \h </w:instrText>
        </w:r>
        <w:r w:rsidR="00794826">
          <w:rPr>
            <w:noProof/>
            <w:webHidden/>
          </w:rPr>
        </w:r>
        <w:r w:rsidR="00794826">
          <w:rPr>
            <w:noProof/>
            <w:webHidden/>
          </w:rPr>
          <w:fldChar w:fldCharType="separate"/>
        </w:r>
        <w:r w:rsidR="009034F6">
          <w:rPr>
            <w:noProof/>
            <w:webHidden/>
          </w:rPr>
          <w:t>7</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5" w:history="1">
        <w:r w:rsidR="00794826" w:rsidRPr="001B4336">
          <w:rPr>
            <w:rStyle w:val="Hyperlink"/>
            <w:noProof/>
          </w:rPr>
          <w:t>1.3.4</w:t>
        </w:r>
        <w:r w:rsidR="00794826">
          <w:rPr>
            <w:rFonts w:asciiTheme="minorHAnsi" w:eastAsiaTheme="minorEastAsia" w:hAnsiTheme="minorHAnsi" w:cstheme="minorBidi"/>
            <w:iCs w:val="0"/>
            <w:noProof/>
            <w:szCs w:val="22"/>
          </w:rPr>
          <w:tab/>
        </w:r>
        <w:r w:rsidR="00794826" w:rsidRPr="001B4336">
          <w:rPr>
            <w:rStyle w:val="Hyperlink"/>
            <w:noProof/>
          </w:rPr>
          <w:t>Forudsætninger</w:t>
        </w:r>
        <w:r w:rsidR="00794826">
          <w:rPr>
            <w:noProof/>
            <w:webHidden/>
          </w:rPr>
          <w:tab/>
        </w:r>
        <w:r w:rsidR="00794826">
          <w:rPr>
            <w:noProof/>
            <w:webHidden/>
          </w:rPr>
          <w:fldChar w:fldCharType="begin"/>
        </w:r>
        <w:r w:rsidR="00794826">
          <w:rPr>
            <w:noProof/>
            <w:webHidden/>
          </w:rPr>
          <w:instrText xml:space="preserve"> PAGEREF _Toc401161355 \h </w:instrText>
        </w:r>
        <w:r w:rsidR="00794826">
          <w:rPr>
            <w:noProof/>
            <w:webHidden/>
          </w:rPr>
        </w:r>
        <w:r w:rsidR="00794826">
          <w:rPr>
            <w:noProof/>
            <w:webHidden/>
          </w:rPr>
          <w:fldChar w:fldCharType="separate"/>
        </w:r>
        <w:r w:rsidR="009034F6">
          <w:rPr>
            <w:noProof/>
            <w:webHidden/>
          </w:rPr>
          <w:t>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56" w:history="1">
        <w:r w:rsidR="00794826" w:rsidRPr="001B4336">
          <w:rPr>
            <w:rStyle w:val="Hyperlink"/>
            <w:noProof/>
          </w:rPr>
          <w:t>1.4</w:t>
        </w:r>
        <w:r w:rsidR="00794826">
          <w:rPr>
            <w:rFonts w:asciiTheme="minorHAnsi" w:eastAsiaTheme="minorEastAsia" w:hAnsiTheme="minorHAnsi" w:cstheme="minorBidi"/>
            <w:b w:val="0"/>
            <w:smallCaps w:val="0"/>
            <w:noProof/>
            <w:szCs w:val="22"/>
          </w:rPr>
          <w:tab/>
        </w:r>
        <w:r w:rsidR="00794826" w:rsidRPr="001B4336">
          <w:rPr>
            <w:rStyle w:val="Hyperlink"/>
            <w:noProof/>
          </w:rPr>
          <w:t>Krav til implementeringsplanen</w:t>
        </w:r>
        <w:r w:rsidR="00794826">
          <w:rPr>
            <w:noProof/>
            <w:webHidden/>
          </w:rPr>
          <w:tab/>
        </w:r>
        <w:r w:rsidR="00794826">
          <w:rPr>
            <w:noProof/>
            <w:webHidden/>
          </w:rPr>
          <w:fldChar w:fldCharType="begin"/>
        </w:r>
        <w:r w:rsidR="00794826">
          <w:rPr>
            <w:noProof/>
            <w:webHidden/>
          </w:rPr>
          <w:instrText xml:space="preserve"> PAGEREF _Toc401161356 \h </w:instrText>
        </w:r>
        <w:r w:rsidR="00794826">
          <w:rPr>
            <w:noProof/>
            <w:webHidden/>
          </w:rPr>
        </w:r>
        <w:r w:rsidR="00794826">
          <w:rPr>
            <w:noProof/>
            <w:webHidden/>
          </w:rPr>
          <w:fldChar w:fldCharType="separate"/>
        </w:r>
        <w:r w:rsidR="009034F6">
          <w:rPr>
            <w:noProof/>
            <w:webHidden/>
          </w:rPr>
          <w:t>8</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7" w:history="1">
        <w:r w:rsidR="00794826" w:rsidRPr="001B4336">
          <w:rPr>
            <w:rStyle w:val="Hyperlink"/>
            <w:noProof/>
          </w:rPr>
          <w:t>1.4.1</w:t>
        </w:r>
        <w:r w:rsidR="00794826">
          <w:rPr>
            <w:rFonts w:asciiTheme="minorHAnsi" w:eastAsiaTheme="minorEastAsia" w:hAnsiTheme="minorHAnsi" w:cstheme="minorBidi"/>
            <w:iCs w:val="0"/>
            <w:noProof/>
            <w:szCs w:val="22"/>
          </w:rPr>
          <w:tab/>
        </w:r>
        <w:r w:rsidR="00794826" w:rsidRPr="001B4336">
          <w:rPr>
            <w:rStyle w:val="Hyperlink"/>
            <w:noProof/>
          </w:rPr>
          <w:t>Ejendomsdataprogrammets krav</w:t>
        </w:r>
        <w:r w:rsidR="00794826">
          <w:rPr>
            <w:noProof/>
            <w:webHidden/>
          </w:rPr>
          <w:tab/>
        </w:r>
        <w:r w:rsidR="00794826">
          <w:rPr>
            <w:noProof/>
            <w:webHidden/>
          </w:rPr>
          <w:fldChar w:fldCharType="begin"/>
        </w:r>
        <w:r w:rsidR="00794826">
          <w:rPr>
            <w:noProof/>
            <w:webHidden/>
          </w:rPr>
          <w:instrText xml:space="preserve"> PAGEREF _Toc401161357 \h </w:instrText>
        </w:r>
        <w:r w:rsidR="00794826">
          <w:rPr>
            <w:noProof/>
            <w:webHidden/>
          </w:rPr>
        </w:r>
        <w:r w:rsidR="00794826">
          <w:rPr>
            <w:noProof/>
            <w:webHidden/>
          </w:rPr>
          <w:fldChar w:fldCharType="separate"/>
        </w:r>
        <w:r w:rsidR="009034F6">
          <w:rPr>
            <w:noProof/>
            <w:webHidden/>
          </w:rPr>
          <w:t>8</w:t>
        </w:r>
        <w:r w:rsidR="00794826">
          <w:rPr>
            <w:noProof/>
            <w:webHidden/>
          </w:rPr>
          <w:fldChar w:fldCharType="end"/>
        </w:r>
      </w:hyperlink>
    </w:p>
    <w:p w:rsidR="00794826" w:rsidRDefault="00F41632">
      <w:pPr>
        <w:pStyle w:val="Indholdsfortegnelse3"/>
        <w:tabs>
          <w:tab w:val="left" w:pos="1200"/>
          <w:tab w:val="right" w:leader="dot" w:pos="8495"/>
        </w:tabs>
        <w:rPr>
          <w:rFonts w:asciiTheme="minorHAnsi" w:eastAsiaTheme="minorEastAsia" w:hAnsiTheme="minorHAnsi" w:cstheme="minorBidi"/>
          <w:iCs w:val="0"/>
          <w:noProof/>
          <w:szCs w:val="22"/>
        </w:rPr>
      </w:pPr>
      <w:hyperlink w:anchor="_Toc401161358" w:history="1">
        <w:r w:rsidR="00794826" w:rsidRPr="001B4336">
          <w:rPr>
            <w:rStyle w:val="Hyperlink"/>
            <w:noProof/>
          </w:rPr>
          <w:t>1.4.2</w:t>
        </w:r>
        <w:r w:rsidR="00794826">
          <w:rPr>
            <w:rFonts w:asciiTheme="minorHAnsi" w:eastAsiaTheme="minorEastAsia" w:hAnsiTheme="minorHAnsi" w:cstheme="minorBidi"/>
            <w:iCs w:val="0"/>
            <w:noProof/>
            <w:szCs w:val="22"/>
          </w:rPr>
          <w:tab/>
        </w:r>
        <w:r w:rsidR="00794826" w:rsidRPr="001B4336">
          <w:rPr>
            <w:rStyle w:val="Hyperlink"/>
            <w:noProof/>
          </w:rPr>
          <w:t>Hovedprincipper i implementeringen</w:t>
        </w:r>
        <w:r w:rsidR="00794826">
          <w:rPr>
            <w:noProof/>
            <w:webHidden/>
          </w:rPr>
          <w:tab/>
        </w:r>
        <w:r w:rsidR="00794826">
          <w:rPr>
            <w:noProof/>
            <w:webHidden/>
          </w:rPr>
          <w:fldChar w:fldCharType="begin"/>
        </w:r>
        <w:r w:rsidR="00794826">
          <w:rPr>
            <w:noProof/>
            <w:webHidden/>
          </w:rPr>
          <w:instrText xml:space="preserve"> PAGEREF _Toc401161358 \h </w:instrText>
        </w:r>
        <w:r w:rsidR="00794826">
          <w:rPr>
            <w:noProof/>
            <w:webHidden/>
          </w:rPr>
        </w:r>
        <w:r w:rsidR="00794826">
          <w:rPr>
            <w:noProof/>
            <w:webHidden/>
          </w:rPr>
          <w:fldChar w:fldCharType="separate"/>
        </w:r>
        <w:r w:rsidR="009034F6">
          <w:rPr>
            <w:noProof/>
            <w:webHidden/>
          </w:rPr>
          <w:t>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59" w:history="1">
        <w:r w:rsidR="00794826" w:rsidRPr="001B4336">
          <w:rPr>
            <w:rStyle w:val="Hyperlink"/>
            <w:noProof/>
          </w:rPr>
          <w:t>1.5</w:t>
        </w:r>
        <w:r w:rsidR="00794826">
          <w:rPr>
            <w:rFonts w:asciiTheme="minorHAnsi" w:eastAsiaTheme="minorEastAsia" w:hAnsiTheme="minorHAnsi" w:cstheme="minorBidi"/>
            <w:b w:val="0"/>
            <w:smallCaps w:val="0"/>
            <w:noProof/>
            <w:szCs w:val="22"/>
          </w:rPr>
          <w:tab/>
        </w:r>
        <w:r w:rsidR="00794826" w:rsidRPr="001B4336">
          <w:rPr>
            <w:rStyle w:val="Hyperlink"/>
            <w:noProof/>
          </w:rPr>
          <w:t>Læsevejledning</w:t>
        </w:r>
        <w:r w:rsidR="00794826">
          <w:rPr>
            <w:noProof/>
            <w:webHidden/>
          </w:rPr>
          <w:tab/>
        </w:r>
        <w:r w:rsidR="00794826">
          <w:rPr>
            <w:noProof/>
            <w:webHidden/>
          </w:rPr>
          <w:fldChar w:fldCharType="begin"/>
        </w:r>
        <w:r w:rsidR="00794826">
          <w:rPr>
            <w:noProof/>
            <w:webHidden/>
          </w:rPr>
          <w:instrText xml:space="preserve"> PAGEREF _Toc401161359 \h </w:instrText>
        </w:r>
        <w:r w:rsidR="00794826">
          <w:rPr>
            <w:noProof/>
            <w:webHidden/>
          </w:rPr>
        </w:r>
        <w:r w:rsidR="00794826">
          <w:rPr>
            <w:noProof/>
            <w:webHidden/>
          </w:rPr>
          <w:fldChar w:fldCharType="separate"/>
        </w:r>
        <w:r w:rsidR="009034F6">
          <w:rPr>
            <w:noProof/>
            <w:webHidden/>
          </w:rPr>
          <w:t>9</w:t>
        </w:r>
        <w:r w:rsidR="00794826">
          <w:rPr>
            <w:noProof/>
            <w:webHidden/>
          </w:rPr>
          <w:fldChar w:fldCharType="end"/>
        </w:r>
      </w:hyperlink>
    </w:p>
    <w:p w:rsidR="00794826" w:rsidRDefault="00F4163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1161360" w:history="1">
        <w:r w:rsidR="00794826" w:rsidRPr="001B4336">
          <w:rPr>
            <w:rStyle w:val="Hyperlink"/>
            <w:noProof/>
          </w:rPr>
          <w:t>2.</w:t>
        </w:r>
        <w:r w:rsidR="00794826">
          <w:rPr>
            <w:rFonts w:asciiTheme="minorHAnsi" w:eastAsiaTheme="minorEastAsia" w:hAnsiTheme="minorHAnsi" w:cstheme="minorBidi"/>
            <w:b w:val="0"/>
            <w:bCs w:val="0"/>
            <w:caps w:val="0"/>
            <w:noProof/>
            <w:sz w:val="22"/>
            <w:szCs w:val="22"/>
          </w:rPr>
          <w:tab/>
        </w:r>
        <w:r w:rsidR="00794826" w:rsidRPr="001B4336">
          <w:rPr>
            <w:rStyle w:val="Hyperlink"/>
            <w:noProof/>
          </w:rPr>
          <w:t>Interim frem mod målarkitekturen</w:t>
        </w:r>
        <w:r w:rsidR="00794826">
          <w:rPr>
            <w:noProof/>
            <w:webHidden/>
          </w:rPr>
          <w:tab/>
        </w:r>
        <w:r w:rsidR="00794826">
          <w:rPr>
            <w:noProof/>
            <w:webHidden/>
          </w:rPr>
          <w:fldChar w:fldCharType="begin"/>
        </w:r>
        <w:r w:rsidR="00794826">
          <w:rPr>
            <w:noProof/>
            <w:webHidden/>
          </w:rPr>
          <w:instrText xml:space="preserve"> PAGEREF _Toc401161360 \h </w:instrText>
        </w:r>
        <w:r w:rsidR="00794826">
          <w:rPr>
            <w:noProof/>
            <w:webHidden/>
          </w:rPr>
        </w:r>
        <w:r w:rsidR="00794826">
          <w:rPr>
            <w:noProof/>
            <w:webHidden/>
          </w:rPr>
          <w:fldChar w:fldCharType="separate"/>
        </w:r>
        <w:r w:rsidR="009034F6">
          <w:rPr>
            <w:noProof/>
            <w:webHidden/>
          </w:rPr>
          <w:t>11</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1" w:history="1">
        <w:r w:rsidR="00794826" w:rsidRPr="001B4336">
          <w:rPr>
            <w:rStyle w:val="Hyperlink"/>
            <w:noProof/>
          </w:rPr>
          <w:t>2.1</w:t>
        </w:r>
        <w:r w:rsidR="00794826">
          <w:rPr>
            <w:rFonts w:asciiTheme="minorHAnsi" w:eastAsiaTheme="minorEastAsia" w:hAnsiTheme="minorHAnsi" w:cstheme="minorBidi"/>
            <w:b w:val="0"/>
            <w:smallCaps w:val="0"/>
            <w:noProof/>
            <w:szCs w:val="22"/>
          </w:rPr>
          <w:tab/>
        </w:r>
        <w:r w:rsidR="00794826" w:rsidRPr="001B4336">
          <w:rPr>
            <w:rStyle w:val="Hyperlink"/>
            <w:noProof/>
          </w:rPr>
          <w:t>Overblik</w:t>
        </w:r>
        <w:r w:rsidR="00794826">
          <w:rPr>
            <w:noProof/>
            <w:webHidden/>
          </w:rPr>
          <w:tab/>
        </w:r>
        <w:r w:rsidR="00794826">
          <w:rPr>
            <w:noProof/>
            <w:webHidden/>
          </w:rPr>
          <w:fldChar w:fldCharType="begin"/>
        </w:r>
        <w:r w:rsidR="00794826">
          <w:rPr>
            <w:noProof/>
            <w:webHidden/>
          </w:rPr>
          <w:instrText xml:space="preserve"> PAGEREF _Toc401161361 \h </w:instrText>
        </w:r>
        <w:r w:rsidR="00794826">
          <w:rPr>
            <w:noProof/>
            <w:webHidden/>
          </w:rPr>
        </w:r>
        <w:r w:rsidR="00794826">
          <w:rPr>
            <w:noProof/>
            <w:webHidden/>
          </w:rPr>
          <w:fldChar w:fldCharType="separate"/>
        </w:r>
        <w:r w:rsidR="009034F6">
          <w:rPr>
            <w:noProof/>
            <w:webHidden/>
          </w:rPr>
          <w:t>11</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2" w:history="1">
        <w:r w:rsidR="00794826" w:rsidRPr="001B4336">
          <w:rPr>
            <w:rStyle w:val="Hyperlink"/>
            <w:noProof/>
          </w:rPr>
          <w:t>2.2</w:t>
        </w:r>
        <w:r w:rsidR="00794826">
          <w:rPr>
            <w:rFonts w:asciiTheme="minorHAnsi" w:eastAsiaTheme="minorEastAsia" w:hAnsiTheme="minorHAnsi" w:cstheme="minorBidi"/>
            <w:b w:val="0"/>
            <w:smallCaps w:val="0"/>
            <w:noProof/>
            <w:szCs w:val="22"/>
          </w:rPr>
          <w:tab/>
        </w:r>
        <w:r w:rsidR="00794826" w:rsidRPr="001B4336">
          <w:rPr>
            <w:rStyle w:val="Hyperlink"/>
            <w:noProof/>
          </w:rPr>
          <w:t>Interim A: Opsplitning af BBR i BBR 1.7 og DAR 0.9</w:t>
        </w:r>
        <w:r w:rsidR="00794826">
          <w:rPr>
            <w:noProof/>
            <w:webHidden/>
          </w:rPr>
          <w:tab/>
        </w:r>
        <w:r w:rsidR="00794826">
          <w:rPr>
            <w:noProof/>
            <w:webHidden/>
          </w:rPr>
          <w:fldChar w:fldCharType="begin"/>
        </w:r>
        <w:r w:rsidR="00794826">
          <w:rPr>
            <w:noProof/>
            <w:webHidden/>
          </w:rPr>
          <w:instrText xml:space="preserve"> PAGEREF _Toc401161362 \h </w:instrText>
        </w:r>
        <w:r w:rsidR="00794826">
          <w:rPr>
            <w:noProof/>
            <w:webHidden/>
          </w:rPr>
        </w:r>
        <w:r w:rsidR="00794826">
          <w:rPr>
            <w:noProof/>
            <w:webHidden/>
          </w:rPr>
          <w:fldChar w:fldCharType="separate"/>
        </w:r>
        <w:r w:rsidR="009034F6">
          <w:rPr>
            <w:noProof/>
            <w:webHidden/>
          </w:rPr>
          <w:t>12</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3" w:history="1">
        <w:r w:rsidR="00794826" w:rsidRPr="001B4336">
          <w:rPr>
            <w:rStyle w:val="Hyperlink"/>
            <w:noProof/>
          </w:rPr>
          <w:t>2.3</w:t>
        </w:r>
        <w:r w:rsidR="00794826">
          <w:rPr>
            <w:rFonts w:asciiTheme="minorHAnsi" w:eastAsiaTheme="minorEastAsia" w:hAnsiTheme="minorHAnsi" w:cstheme="minorBidi"/>
            <w:b w:val="0"/>
            <w:smallCaps w:val="0"/>
            <w:noProof/>
            <w:szCs w:val="22"/>
          </w:rPr>
          <w:tab/>
        </w:r>
        <w:r w:rsidR="00794826" w:rsidRPr="001B4336">
          <w:rPr>
            <w:rStyle w:val="Hyperlink"/>
            <w:noProof/>
          </w:rPr>
          <w:t>Interim B: Ejendomstype ”Samlet Fast Ejendom”</w:t>
        </w:r>
        <w:r w:rsidR="00794826">
          <w:rPr>
            <w:noProof/>
            <w:webHidden/>
          </w:rPr>
          <w:tab/>
        </w:r>
        <w:r w:rsidR="00794826">
          <w:rPr>
            <w:noProof/>
            <w:webHidden/>
          </w:rPr>
          <w:fldChar w:fldCharType="begin"/>
        </w:r>
        <w:r w:rsidR="00794826">
          <w:rPr>
            <w:noProof/>
            <w:webHidden/>
          </w:rPr>
          <w:instrText xml:space="preserve"> PAGEREF _Toc401161363 \h </w:instrText>
        </w:r>
        <w:r w:rsidR="00794826">
          <w:rPr>
            <w:noProof/>
            <w:webHidden/>
          </w:rPr>
        </w:r>
        <w:r w:rsidR="00794826">
          <w:rPr>
            <w:noProof/>
            <w:webHidden/>
          </w:rPr>
          <w:fldChar w:fldCharType="separate"/>
        </w:r>
        <w:r w:rsidR="009034F6">
          <w:rPr>
            <w:noProof/>
            <w:webHidden/>
          </w:rPr>
          <w:t>13</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4" w:history="1">
        <w:r w:rsidR="00794826" w:rsidRPr="001B4336">
          <w:rPr>
            <w:rStyle w:val="Hyperlink"/>
            <w:noProof/>
          </w:rPr>
          <w:t>2.4</w:t>
        </w:r>
        <w:r w:rsidR="00794826">
          <w:rPr>
            <w:rFonts w:asciiTheme="minorHAnsi" w:eastAsiaTheme="minorEastAsia" w:hAnsiTheme="minorHAnsi" w:cstheme="minorBidi"/>
            <w:b w:val="0"/>
            <w:smallCaps w:val="0"/>
            <w:noProof/>
            <w:szCs w:val="22"/>
          </w:rPr>
          <w:tab/>
        </w:r>
        <w:r w:rsidR="00794826" w:rsidRPr="001B4336">
          <w:rPr>
            <w:rStyle w:val="Hyperlink"/>
            <w:noProof/>
          </w:rPr>
          <w:t>Interim C: Ejendomstype ”Ejerlejligheder”</w:t>
        </w:r>
        <w:r w:rsidR="00794826">
          <w:rPr>
            <w:noProof/>
            <w:webHidden/>
          </w:rPr>
          <w:tab/>
        </w:r>
        <w:r w:rsidR="00794826">
          <w:rPr>
            <w:noProof/>
            <w:webHidden/>
          </w:rPr>
          <w:fldChar w:fldCharType="begin"/>
        </w:r>
        <w:r w:rsidR="00794826">
          <w:rPr>
            <w:noProof/>
            <w:webHidden/>
          </w:rPr>
          <w:instrText xml:space="preserve"> PAGEREF _Toc401161364 \h </w:instrText>
        </w:r>
        <w:r w:rsidR="00794826">
          <w:rPr>
            <w:noProof/>
            <w:webHidden/>
          </w:rPr>
        </w:r>
        <w:r w:rsidR="00794826">
          <w:rPr>
            <w:noProof/>
            <w:webHidden/>
          </w:rPr>
          <w:fldChar w:fldCharType="separate"/>
        </w:r>
        <w:r w:rsidR="009034F6">
          <w:rPr>
            <w:noProof/>
            <w:webHidden/>
          </w:rPr>
          <w:t>14</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5" w:history="1">
        <w:r w:rsidR="00794826" w:rsidRPr="001B4336">
          <w:rPr>
            <w:rStyle w:val="Hyperlink"/>
            <w:noProof/>
          </w:rPr>
          <w:t>2.5</w:t>
        </w:r>
        <w:r w:rsidR="00794826">
          <w:rPr>
            <w:rFonts w:asciiTheme="minorHAnsi" w:eastAsiaTheme="minorEastAsia" w:hAnsiTheme="minorHAnsi" w:cstheme="minorBidi"/>
            <w:b w:val="0"/>
            <w:smallCaps w:val="0"/>
            <w:noProof/>
            <w:szCs w:val="22"/>
          </w:rPr>
          <w:tab/>
        </w:r>
        <w:r w:rsidR="00794826" w:rsidRPr="001B4336">
          <w:rPr>
            <w:rStyle w:val="Hyperlink"/>
            <w:noProof/>
          </w:rPr>
          <w:t>Interim D: Ejerfortegnelse</w:t>
        </w:r>
        <w:r w:rsidR="00794826">
          <w:rPr>
            <w:noProof/>
            <w:webHidden/>
          </w:rPr>
          <w:tab/>
        </w:r>
        <w:r w:rsidR="00794826">
          <w:rPr>
            <w:noProof/>
            <w:webHidden/>
          </w:rPr>
          <w:fldChar w:fldCharType="begin"/>
        </w:r>
        <w:r w:rsidR="00794826">
          <w:rPr>
            <w:noProof/>
            <w:webHidden/>
          </w:rPr>
          <w:instrText xml:space="preserve"> PAGEREF _Toc401161365 \h </w:instrText>
        </w:r>
        <w:r w:rsidR="00794826">
          <w:rPr>
            <w:noProof/>
            <w:webHidden/>
          </w:rPr>
        </w:r>
        <w:r w:rsidR="00794826">
          <w:rPr>
            <w:noProof/>
            <w:webHidden/>
          </w:rPr>
          <w:fldChar w:fldCharType="separate"/>
        </w:r>
        <w:r w:rsidR="009034F6">
          <w:rPr>
            <w:noProof/>
            <w:webHidden/>
          </w:rPr>
          <w:t>15</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6" w:history="1">
        <w:r w:rsidR="00794826" w:rsidRPr="001B4336">
          <w:rPr>
            <w:rStyle w:val="Hyperlink"/>
            <w:noProof/>
          </w:rPr>
          <w:t>2.6</w:t>
        </w:r>
        <w:r w:rsidR="00794826">
          <w:rPr>
            <w:rFonts w:asciiTheme="minorHAnsi" w:eastAsiaTheme="minorEastAsia" w:hAnsiTheme="minorHAnsi" w:cstheme="minorBidi"/>
            <w:b w:val="0"/>
            <w:smallCaps w:val="0"/>
            <w:noProof/>
            <w:szCs w:val="22"/>
          </w:rPr>
          <w:tab/>
        </w:r>
        <w:r w:rsidR="00794826" w:rsidRPr="001B4336">
          <w:rPr>
            <w:rStyle w:val="Hyperlink"/>
            <w:noProof/>
          </w:rPr>
          <w:t>Interim E: Ejendomstype ”BPFG” og BBR 2.0</w:t>
        </w:r>
        <w:r w:rsidR="00794826">
          <w:rPr>
            <w:noProof/>
            <w:webHidden/>
          </w:rPr>
          <w:tab/>
        </w:r>
        <w:r w:rsidR="00794826">
          <w:rPr>
            <w:noProof/>
            <w:webHidden/>
          </w:rPr>
          <w:fldChar w:fldCharType="begin"/>
        </w:r>
        <w:r w:rsidR="00794826">
          <w:rPr>
            <w:noProof/>
            <w:webHidden/>
          </w:rPr>
          <w:instrText xml:space="preserve"> PAGEREF _Toc401161366 \h </w:instrText>
        </w:r>
        <w:r w:rsidR="00794826">
          <w:rPr>
            <w:noProof/>
            <w:webHidden/>
          </w:rPr>
        </w:r>
        <w:r w:rsidR="00794826">
          <w:rPr>
            <w:noProof/>
            <w:webHidden/>
          </w:rPr>
          <w:fldChar w:fldCharType="separate"/>
        </w:r>
        <w:r w:rsidR="009034F6">
          <w:rPr>
            <w:noProof/>
            <w:webHidden/>
          </w:rPr>
          <w:t>16</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7" w:history="1">
        <w:r w:rsidR="00794826" w:rsidRPr="001B4336">
          <w:rPr>
            <w:rStyle w:val="Hyperlink"/>
            <w:noProof/>
          </w:rPr>
          <w:t>2.7</w:t>
        </w:r>
        <w:r w:rsidR="00794826">
          <w:rPr>
            <w:rFonts w:asciiTheme="minorHAnsi" w:eastAsiaTheme="minorEastAsia" w:hAnsiTheme="minorHAnsi" w:cstheme="minorBidi"/>
            <w:b w:val="0"/>
            <w:smallCaps w:val="0"/>
            <w:noProof/>
            <w:szCs w:val="22"/>
          </w:rPr>
          <w:tab/>
        </w:r>
        <w:r w:rsidR="00794826" w:rsidRPr="001B4336">
          <w:rPr>
            <w:rStyle w:val="Hyperlink"/>
            <w:noProof/>
          </w:rPr>
          <w:t>Målarkitekturens ”TO BE” løsning</w:t>
        </w:r>
        <w:r w:rsidR="00794826">
          <w:rPr>
            <w:noProof/>
            <w:webHidden/>
          </w:rPr>
          <w:tab/>
        </w:r>
        <w:r w:rsidR="00794826">
          <w:rPr>
            <w:noProof/>
            <w:webHidden/>
          </w:rPr>
          <w:fldChar w:fldCharType="begin"/>
        </w:r>
        <w:r w:rsidR="00794826">
          <w:rPr>
            <w:noProof/>
            <w:webHidden/>
          </w:rPr>
          <w:instrText xml:space="preserve"> PAGEREF _Toc401161367 \h </w:instrText>
        </w:r>
        <w:r w:rsidR="00794826">
          <w:rPr>
            <w:noProof/>
            <w:webHidden/>
          </w:rPr>
        </w:r>
        <w:r w:rsidR="00794826">
          <w:rPr>
            <w:noProof/>
            <w:webHidden/>
          </w:rPr>
          <w:fldChar w:fldCharType="separate"/>
        </w:r>
        <w:r w:rsidR="009034F6">
          <w:rPr>
            <w:noProof/>
            <w:webHidden/>
          </w:rPr>
          <w:t>17</w:t>
        </w:r>
        <w:r w:rsidR="00794826">
          <w:rPr>
            <w:noProof/>
            <w:webHidden/>
          </w:rPr>
          <w:fldChar w:fldCharType="end"/>
        </w:r>
      </w:hyperlink>
    </w:p>
    <w:p w:rsidR="00794826" w:rsidRDefault="00F4163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1161368" w:history="1">
        <w:r w:rsidR="00794826" w:rsidRPr="001B4336">
          <w:rPr>
            <w:rStyle w:val="Hyperlink"/>
            <w:noProof/>
          </w:rPr>
          <w:t>3.</w:t>
        </w:r>
        <w:r w:rsidR="00794826">
          <w:rPr>
            <w:rFonts w:asciiTheme="minorHAnsi" w:eastAsiaTheme="minorEastAsia" w:hAnsiTheme="minorHAnsi" w:cstheme="minorBidi"/>
            <w:b w:val="0"/>
            <w:bCs w:val="0"/>
            <w:caps w:val="0"/>
            <w:noProof/>
            <w:sz w:val="22"/>
            <w:szCs w:val="22"/>
          </w:rPr>
          <w:tab/>
        </w:r>
        <w:r w:rsidR="00794826" w:rsidRPr="001B4336">
          <w:rPr>
            <w:rStyle w:val="Hyperlink"/>
            <w:noProof/>
          </w:rPr>
          <w:t>Fælles implementeringsplan</w:t>
        </w:r>
        <w:r w:rsidR="00794826">
          <w:rPr>
            <w:noProof/>
            <w:webHidden/>
          </w:rPr>
          <w:tab/>
        </w:r>
        <w:r w:rsidR="00794826">
          <w:rPr>
            <w:noProof/>
            <w:webHidden/>
          </w:rPr>
          <w:fldChar w:fldCharType="begin"/>
        </w:r>
        <w:r w:rsidR="00794826">
          <w:rPr>
            <w:noProof/>
            <w:webHidden/>
          </w:rPr>
          <w:instrText xml:space="preserve"> PAGEREF _Toc401161368 \h </w:instrText>
        </w:r>
        <w:r w:rsidR="00794826">
          <w:rPr>
            <w:noProof/>
            <w:webHidden/>
          </w:rPr>
        </w:r>
        <w:r w:rsidR="00794826">
          <w:rPr>
            <w:noProof/>
            <w:webHidden/>
          </w:rPr>
          <w:fldChar w:fldCharType="separate"/>
        </w:r>
        <w:r w:rsidR="009034F6">
          <w:rPr>
            <w:noProof/>
            <w:webHidden/>
          </w:rPr>
          <w:t>18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69" w:history="1">
        <w:r w:rsidR="00794826" w:rsidRPr="001B4336">
          <w:rPr>
            <w:rStyle w:val="Hyperlink"/>
            <w:noProof/>
          </w:rPr>
          <w:t>3.1</w:t>
        </w:r>
        <w:r w:rsidR="00794826">
          <w:rPr>
            <w:rFonts w:asciiTheme="minorHAnsi" w:eastAsiaTheme="minorEastAsia" w:hAnsiTheme="minorHAnsi" w:cstheme="minorBidi"/>
            <w:b w:val="0"/>
            <w:smallCaps w:val="0"/>
            <w:noProof/>
            <w:szCs w:val="22"/>
          </w:rPr>
          <w:tab/>
        </w:r>
        <w:r w:rsidR="00794826" w:rsidRPr="001B4336">
          <w:rPr>
            <w:rStyle w:val="Hyperlink"/>
            <w:noProof/>
          </w:rPr>
          <w:t>Planens projekter</w:t>
        </w:r>
        <w:r w:rsidR="00794826">
          <w:rPr>
            <w:noProof/>
            <w:webHidden/>
          </w:rPr>
          <w:tab/>
        </w:r>
        <w:r w:rsidR="00794826">
          <w:rPr>
            <w:noProof/>
            <w:webHidden/>
          </w:rPr>
          <w:fldChar w:fldCharType="begin"/>
        </w:r>
        <w:r w:rsidR="00794826">
          <w:rPr>
            <w:noProof/>
            <w:webHidden/>
          </w:rPr>
          <w:instrText xml:space="preserve"> PAGEREF _Toc401161369 \h </w:instrText>
        </w:r>
        <w:r w:rsidR="00794826">
          <w:rPr>
            <w:noProof/>
            <w:webHidden/>
          </w:rPr>
        </w:r>
        <w:r w:rsidR="00794826">
          <w:rPr>
            <w:noProof/>
            <w:webHidden/>
          </w:rPr>
          <w:fldChar w:fldCharType="separate"/>
        </w:r>
        <w:r w:rsidR="009034F6">
          <w:rPr>
            <w:noProof/>
            <w:webHidden/>
          </w:rPr>
          <w:t>18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0" w:history="1">
        <w:r w:rsidR="00794826" w:rsidRPr="001B4336">
          <w:rPr>
            <w:rStyle w:val="Hyperlink"/>
            <w:noProof/>
          </w:rPr>
          <w:t>3.2</w:t>
        </w:r>
        <w:r w:rsidR="00794826">
          <w:rPr>
            <w:rFonts w:asciiTheme="minorHAnsi" w:eastAsiaTheme="minorEastAsia" w:hAnsiTheme="minorHAnsi" w:cstheme="minorBidi"/>
            <w:b w:val="0"/>
            <w:smallCaps w:val="0"/>
            <w:noProof/>
            <w:szCs w:val="22"/>
          </w:rPr>
          <w:tab/>
        </w:r>
        <w:r w:rsidR="00794826" w:rsidRPr="001B4336">
          <w:rPr>
            <w:rStyle w:val="Hyperlink"/>
            <w:noProof/>
          </w:rPr>
          <w:t>Implementeringsplanens struktur</w:t>
        </w:r>
        <w:r w:rsidR="00794826">
          <w:rPr>
            <w:noProof/>
            <w:webHidden/>
          </w:rPr>
          <w:tab/>
        </w:r>
        <w:r w:rsidR="00794826">
          <w:rPr>
            <w:noProof/>
            <w:webHidden/>
          </w:rPr>
          <w:fldChar w:fldCharType="begin"/>
        </w:r>
        <w:r w:rsidR="00794826">
          <w:rPr>
            <w:noProof/>
            <w:webHidden/>
          </w:rPr>
          <w:instrText xml:space="preserve"> PAGEREF _Toc401161370 \h </w:instrText>
        </w:r>
        <w:r w:rsidR="00794826">
          <w:rPr>
            <w:noProof/>
            <w:webHidden/>
          </w:rPr>
        </w:r>
        <w:r w:rsidR="00794826">
          <w:rPr>
            <w:noProof/>
            <w:webHidden/>
          </w:rPr>
          <w:fldChar w:fldCharType="separate"/>
        </w:r>
        <w:r w:rsidR="009034F6">
          <w:rPr>
            <w:noProof/>
            <w:webHidden/>
          </w:rPr>
          <w:t>19</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1" w:history="1">
        <w:r w:rsidR="00794826" w:rsidRPr="001B4336">
          <w:rPr>
            <w:rStyle w:val="Hyperlink"/>
            <w:noProof/>
          </w:rPr>
          <w:t>3.3</w:t>
        </w:r>
        <w:r w:rsidR="00794826">
          <w:rPr>
            <w:rFonts w:asciiTheme="minorHAnsi" w:eastAsiaTheme="minorEastAsia" w:hAnsiTheme="minorHAnsi" w:cstheme="minorBidi"/>
            <w:b w:val="0"/>
            <w:smallCaps w:val="0"/>
            <w:noProof/>
            <w:szCs w:val="22"/>
          </w:rPr>
          <w:tab/>
        </w:r>
        <w:r w:rsidR="00794826" w:rsidRPr="001B4336">
          <w:rPr>
            <w:rStyle w:val="Hyperlink"/>
            <w:noProof/>
          </w:rPr>
          <w:t>Overblik over implementeringsplanen</w:t>
        </w:r>
        <w:r w:rsidR="00794826">
          <w:rPr>
            <w:noProof/>
            <w:webHidden/>
          </w:rPr>
          <w:tab/>
        </w:r>
        <w:r w:rsidR="00794826">
          <w:rPr>
            <w:noProof/>
            <w:webHidden/>
          </w:rPr>
          <w:fldChar w:fldCharType="begin"/>
        </w:r>
        <w:r w:rsidR="00794826">
          <w:rPr>
            <w:noProof/>
            <w:webHidden/>
          </w:rPr>
          <w:instrText xml:space="preserve"> PAGEREF _Toc401161371 \h </w:instrText>
        </w:r>
        <w:r w:rsidR="00794826">
          <w:rPr>
            <w:noProof/>
            <w:webHidden/>
          </w:rPr>
        </w:r>
        <w:r w:rsidR="00794826">
          <w:rPr>
            <w:noProof/>
            <w:webHidden/>
          </w:rPr>
          <w:fldChar w:fldCharType="separate"/>
        </w:r>
        <w:r w:rsidR="009034F6">
          <w:rPr>
            <w:noProof/>
            <w:webHidden/>
          </w:rPr>
          <w:t>20</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2" w:history="1">
        <w:r w:rsidR="00794826" w:rsidRPr="001B4336">
          <w:rPr>
            <w:rStyle w:val="Hyperlink"/>
            <w:noProof/>
          </w:rPr>
          <w:t>3.4</w:t>
        </w:r>
        <w:r w:rsidR="00794826">
          <w:rPr>
            <w:rFonts w:asciiTheme="minorHAnsi" w:eastAsiaTheme="minorEastAsia" w:hAnsiTheme="minorHAnsi" w:cstheme="minorBidi"/>
            <w:b w:val="0"/>
            <w:smallCaps w:val="0"/>
            <w:noProof/>
            <w:szCs w:val="22"/>
          </w:rPr>
          <w:tab/>
        </w:r>
        <w:r w:rsidR="00794826" w:rsidRPr="001B4336">
          <w:rPr>
            <w:rStyle w:val="Hyperlink"/>
            <w:noProof/>
          </w:rPr>
          <w:t>Implementeringsplanens faser</w:t>
        </w:r>
        <w:r w:rsidR="00794826">
          <w:rPr>
            <w:noProof/>
            <w:webHidden/>
          </w:rPr>
          <w:tab/>
        </w:r>
        <w:r w:rsidR="00794826">
          <w:rPr>
            <w:noProof/>
            <w:webHidden/>
          </w:rPr>
          <w:fldChar w:fldCharType="begin"/>
        </w:r>
        <w:r w:rsidR="00794826">
          <w:rPr>
            <w:noProof/>
            <w:webHidden/>
          </w:rPr>
          <w:instrText xml:space="preserve"> PAGEREF _Toc401161372 \h </w:instrText>
        </w:r>
        <w:r w:rsidR="00794826">
          <w:rPr>
            <w:noProof/>
            <w:webHidden/>
          </w:rPr>
        </w:r>
        <w:r w:rsidR="00794826">
          <w:rPr>
            <w:noProof/>
            <w:webHidden/>
          </w:rPr>
          <w:fldChar w:fldCharType="separate"/>
        </w:r>
        <w:r w:rsidR="009034F6">
          <w:rPr>
            <w:noProof/>
            <w:webHidden/>
          </w:rPr>
          <w:t>21</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3" w:history="1">
        <w:r w:rsidR="00794826" w:rsidRPr="001B4336">
          <w:rPr>
            <w:rStyle w:val="Hyperlink"/>
            <w:noProof/>
          </w:rPr>
          <w:t>3.5</w:t>
        </w:r>
        <w:r w:rsidR="00794826">
          <w:rPr>
            <w:rFonts w:asciiTheme="minorHAnsi" w:eastAsiaTheme="minorEastAsia" w:hAnsiTheme="minorHAnsi" w:cstheme="minorBidi"/>
            <w:b w:val="0"/>
            <w:smallCaps w:val="0"/>
            <w:noProof/>
            <w:szCs w:val="22"/>
          </w:rPr>
          <w:tab/>
        </w:r>
        <w:r w:rsidR="00794826" w:rsidRPr="001B4336">
          <w:rPr>
            <w:rStyle w:val="Hyperlink"/>
            <w:noProof/>
          </w:rPr>
          <w:t>Implementeringsplanens milepæle</w:t>
        </w:r>
        <w:r w:rsidR="00794826">
          <w:rPr>
            <w:noProof/>
            <w:webHidden/>
          </w:rPr>
          <w:tab/>
        </w:r>
        <w:r w:rsidR="00794826">
          <w:rPr>
            <w:noProof/>
            <w:webHidden/>
          </w:rPr>
          <w:fldChar w:fldCharType="begin"/>
        </w:r>
        <w:r w:rsidR="00794826">
          <w:rPr>
            <w:noProof/>
            <w:webHidden/>
          </w:rPr>
          <w:instrText xml:space="preserve"> PAGEREF _Toc401161373 \h </w:instrText>
        </w:r>
        <w:r w:rsidR="00794826">
          <w:rPr>
            <w:noProof/>
            <w:webHidden/>
          </w:rPr>
        </w:r>
        <w:r w:rsidR="00794826">
          <w:rPr>
            <w:noProof/>
            <w:webHidden/>
          </w:rPr>
          <w:fldChar w:fldCharType="separate"/>
        </w:r>
        <w:r w:rsidR="009034F6">
          <w:rPr>
            <w:noProof/>
            <w:webHidden/>
          </w:rPr>
          <w:t>22</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4" w:history="1">
        <w:r w:rsidR="00794826" w:rsidRPr="001B4336">
          <w:rPr>
            <w:rStyle w:val="Hyperlink"/>
            <w:noProof/>
          </w:rPr>
          <w:t>3.6</w:t>
        </w:r>
        <w:r w:rsidR="00794826">
          <w:rPr>
            <w:rFonts w:asciiTheme="minorHAnsi" w:eastAsiaTheme="minorEastAsia" w:hAnsiTheme="minorHAnsi" w:cstheme="minorBidi"/>
            <w:b w:val="0"/>
            <w:smallCaps w:val="0"/>
            <w:noProof/>
            <w:szCs w:val="22"/>
          </w:rPr>
          <w:tab/>
        </w:r>
        <w:r w:rsidR="00794826" w:rsidRPr="001B4336">
          <w:rPr>
            <w:rStyle w:val="Hyperlink"/>
            <w:noProof/>
          </w:rPr>
          <w:t>Kritiske veje i implementeringsplanen</w:t>
        </w:r>
        <w:r w:rsidR="00794826">
          <w:rPr>
            <w:noProof/>
            <w:webHidden/>
          </w:rPr>
          <w:tab/>
        </w:r>
        <w:r w:rsidR="00794826">
          <w:rPr>
            <w:noProof/>
            <w:webHidden/>
          </w:rPr>
          <w:fldChar w:fldCharType="begin"/>
        </w:r>
        <w:r w:rsidR="00794826">
          <w:rPr>
            <w:noProof/>
            <w:webHidden/>
          </w:rPr>
          <w:instrText xml:space="preserve"> PAGEREF _Toc401161374 \h </w:instrText>
        </w:r>
        <w:r w:rsidR="00794826">
          <w:rPr>
            <w:noProof/>
            <w:webHidden/>
          </w:rPr>
        </w:r>
        <w:r w:rsidR="00794826">
          <w:rPr>
            <w:noProof/>
            <w:webHidden/>
          </w:rPr>
          <w:fldChar w:fldCharType="separate"/>
        </w:r>
        <w:r w:rsidR="009034F6">
          <w:rPr>
            <w:noProof/>
            <w:webHidden/>
          </w:rPr>
          <w:t>26</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5" w:history="1">
        <w:r w:rsidR="00794826" w:rsidRPr="001B4336">
          <w:rPr>
            <w:rStyle w:val="Hyperlink"/>
            <w:noProof/>
          </w:rPr>
          <w:t>3.7</w:t>
        </w:r>
        <w:r w:rsidR="00794826">
          <w:rPr>
            <w:rFonts w:asciiTheme="minorHAnsi" w:eastAsiaTheme="minorEastAsia" w:hAnsiTheme="minorHAnsi" w:cstheme="minorBidi"/>
            <w:b w:val="0"/>
            <w:smallCaps w:val="0"/>
            <w:noProof/>
            <w:szCs w:val="22"/>
          </w:rPr>
          <w:tab/>
        </w:r>
        <w:r w:rsidR="00794826" w:rsidRPr="001B4336">
          <w:rPr>
            <w:rStyle w:val="Hyperlink"/>
            <w:noProof/>
          </w:rPr>
          <w:t>Væsentlige risici ift. implementeringsplanen</w:t>
        </w:r>
        <w:r w:rsidR="00794826">
          <w:rPr>
            <w:noProof/>
            <w:webHidden/>
          </w:rPr>
          <w:tab/>
        </w:r>
        <w:r w:rsidR="00794826">
          <w:rPr>
            <w:noProof/>
            <w:webHidden/>
          </w:rPr>
          <w:fldChar w:fldCharType="begin"/>
        </w:r>
        <w:r w:rsidR="00794826">
          <w:rPr>
            <w:noProof/>
            <w:webHidden/>
          </w:rPr>
          <w:instrText xml:space="preserve"> PAGEREF _Toc401161375 \h </w:instrText>
        </w:r>
        <w:r w:rsidR="00794826">
          <w:rPr>
            <w:noProof/>
            <w:webHidden/>
          </w:rPr>
        </w:r>
        <w:r w:rsidR="00794826">
          <w:rPr>
            <w:noProof/>
            <w:webHidden/>
          </w:rPr>
          <w:fldChar w:fldCharType="separate"/>
        </w:r>
        <w:r w:rsidR="009034F6">
          <w:rPr>
            <w:noProof/>
            <w:webHidden/>
          </w:rPr>
          <w:t>26</w:t>
        </w:r>
        <w:r w:rsidR="00794826">
          <w:rPr>
            <w:noProof/>
            <w:webHidden/>
          </w:rPr>
          <w:fldChar w:fldCharType="end"/>
        </w:r>
      </w:hyperlink>
    </w:p>
    <w:p w:rsidR="00794826" w:rsidRDefault="00F4163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1161376" w:history="1">
        <w:r w:rsidR="00794826" w:rsidRPr="001B4336">
          <w:rPr>
            <w:rStyle w:val="Hyperlink"/>
            <w:noProof/>
          </w:rPr>
          <w:t>4.</w:t>
        </w:r>
        <w:r w:rsidR="00794826">
          <w:rPr>
            <w:rFonts w:asciiTheme="minorHAnsi" w:eastAsiaTheme="minorEastAsia" w:hAnsiTheme="minorHAnsi" w:cstheme="minorBidi"/>
            <w:b w:val="0"/>
            <w:bCs w:val="0"/>
            <w:caps w:val="0"/>
            <w:noProof/>
            <w:sz w:val="22"/>
            <w:szCs w:val="22"/>
          </w:rPr>
          <w:tab/>
        </w:r>
        <w:r w:rsidR="00794826" w:rsidRPr="001B4336">
          <w:rPr>
            <w:rStyle w:val="Hyperlink"/>
            <w:noProof/>
          </w:rPr>
          <w:t>Implementeringsplanens projekter</w:t>
        </w:r>
        <w:r w:rsidR="00794826">
          <w:rPr>
            <w:noProof/>
            <w:webHidden/>
          </w:rPr>
          <w:tab/>
        </w:r>
        <w:r w:rsidR="00794826">
          <w:rPr>
            <w:noProof/>
            <w:webHidden/>
          </w:rPr>
          <w:fldChar w:fldCharType="begin"/>
        </w:r>
        <w:r w:rsidR="00794826">
          <w:rPr>
            <w:noProof/>
            <w:webHidden/>
          </w:rPr>
          <w:instrText xml:space="preserve"> PAGEREF _Toc401161376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7" w:history="1">
        <w:r w:rsidR="00794826" w:rsidRPr="001B4336">
          <w:rPr>
            <w:rStyle w:val="Hyperlink"/>
            <w:noProof/>
          </w:rPr>
          <w:t>4.1</w:t>
        </w:r>
        <w:r w:rsidR="00794826">
          <w:rPr>
            <w:rFonts w:asciiTheme="minorHAnsi" w:eastAsiaTheme="minorEastAsia" w:hAnsiTheme="minorHAnsi" w:cstheme="minorBidi"/>
            <w:b w:val="0"/>
            <w:smallCaps w:val="0"/>
            <w:noProof/>
            <w:szCs w:val="22"/>
          </w:rPr>
          <w:tab/>
        </w:r>
        <w:r w:rsidR="00794826" w:rsidRPr="001B4336">
          <w:rPr>
            <w:rStyle w:val="Hyperlink"/>
            <w:noProof/>
          </w:rPr>
          <w:t>Strukturelle sammenhænge</w:t>
        </w:r>
        <w:r w:rsidR="00794826">
          <w:rPr>
            <w:noProof/>
            <w:webHidden/>
          </w:rPr>
          <w:tab/>
        </w:r>
        <w:r w:rsidR="00794826">
          <w:rPr>
            <w:noProof/>
            <w:webHidden/>
          </w:rPr>
          <w:fldChar w:fldCharType="begin"/>
        </w:r>
        <w:r w:rsidR="00794826">
          <w:rPr>
            <w:noProof/>
            <w:webHidden/>
          </w:rPr>
          <w:instrText xml:space="preserve"> PAGEREF _Toc401161377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8" w:history="1">
        <w:r w:rsidR="00794826" w:rsidRPr="001B4336">
          <w:rPr>
            <w:rStyle w:val="Hyperlink"/>
            <w:noProof/>
          </w:rPr>
          <w:t>4.2</w:t>
        </w:r>
        <w:r w:rsidR="00794826">
          <w:rPr>
            <w:rFonts w:asciiTheme="minorHAnsi" w:eastAsiaTheme="minorEastAsia" w:hAnsiTheme="minorHAnsi" w:cstheme="minorBidi"/>
            <w:b w:val="0"/>
            <w:smallCaps w:val="0"/>
            <w:noProof/>
            <w:szCs w:val="22"/>
          </w:rPr>
          <w:tab/>
        </w:r>
        <w:r w:rsidR="00794826" w:rsidRPr="001B4336">
          <w:rPr>
            <w:rStyle w:val="Hyperlink"/>
            <w:noProof/>
          </w:rPr>
          <w:t>Opgaver fælles for GD1 og GD2</w:t>
        </w:r>
        <w:r w:rsidR="00794826">
          <w:rPr>
            <w:noProof/>
            <w:webHidden/>
          </w:rPr>
          <w:tab/>
        </w:r>
        <w:r w:rsidR="00794826">
          <w:rPr>
            <w:noProof/>
            <w:webHidden/>
          </w:rPr>
          <w:fldChar w:fldCharType="begin"/>
        </w:r>
        <w:r w:rsidR="00794826">
          <w:rPr>
            <w:noProof/>
            <w:webHidden/>
          </w:rPr>
          <w:instrText xml:space="preserve"> PAGEREF _Toc401161378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79" w:history="1">
        <w:r w:rsidR="00794826" w:rsidRPr="001B4336">
          <w:rPr>
            <w:rStyle w:val="Hyperlink"/>
            <w:noProof/>
          </w:rPr>
          <w:t>4.3</w:t>
        </w:r>
        <w:r w:rsidR="00794826">
          <w:rPr>
            <w:rFonts w:asciiTheme="minorHAnsi" w:eastAsiaTheme="minorEastAsia" w:hAnsiTheme="minorHAnsi" w:cstheme="minorBidi"/>
            <w:b w:val="0"/>
            <w:smallCaps w:val="0"/>
            <w:noProof/>
            <w:szCs w:val="22"/>
          </w:rPr>
          <w:tab/>
        </w:r>
        <w:r w:rsidR="00794826" w:rsidRPr="001B4336">
          <w:rPr>
            <w:rStyle w:val="Hyperlink"/>
            <w:noProof/>
          </w:rPr>
          <w:t>GD1 – Opgaver på delprogramniveau</w:t>
        </w:r>
        <w:r w:rsidR="00794826">
          <w:rPr>
            <w:noProof/>
            <w:webHidden/>
          </w:rPr>
          <w:tab/>
        </w:r>
        <w:r w:rsidR="00794826">
          <w:rPr>
            <w:noProof/>
            <w:webHidden/>
          </w:rPr>
          <w:fldChar w:fldCharType="begin"/>
        </w:r>
        <w:r w:rsidR="00794826">
          <w:rPr>
            <w:noProof/>
            <w:webHidden/>
          </w:rPr>
          <w:instrText xml:space="preserve"> PAGEREF _Toc401161379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0" w:history="1">
        <w:r w:rsidR="00794826" w:rsidRPr="001B4336">
          <w:rPr>
            <w:rStyle w:val="Hyperlink"/>
            <w:noProof/>
          </w:rPr>
          <w:t>4.4</w:t>
        </w:r>
        <w:r w:rsidR="00794826">
          <w:rPr>
            <w:rFonts w:asciiTheme="minorHAnsi" w:eastAsiaTheme="minorEastAsia" w:hAnsiTheme="minorHAnsi" w:cstheme="minorBidi"/>
            <w:b w:val="0"/>
            <w:smallCaps w:val="0"/>
            <w:noProof/>
            <w:szCs w:val="22"/>
          </w:rPr>
          <w:tab/>
        </w:r>
        <w:r w:rsidR="00794826" w:rsidRPr="001B4336">
          <w:rPr>
            <w:rStyle w:val="Hyperlink"/>
            <w:noProof/>
          </w:rPr>
          <w:t>GST – Matriklens udvidelse</w:t>
        </w:r>
        <w:r w:rsidR="00794826">
          <w:rPr>
            <w:noProof/>
            <w:webHidden/>
          </w:rPr>
          <w:tab/>
        </w:r>
        <w:r w:rsidR="00794826">
          <w:rPr>
            <w:noProof/>
            <w:webHidden/>
          </w:rPr>
          <w:fldChar w:fldCharType="begin"/>
        </w:r>
        <w:r w:rsidR="00794826">
          <w:rPr>
            <w:noProof/>
            <w:webHidden/>
          </w:rPr>
          <w:instrText xml:space="preserve"> PAGEREF _Toc401161380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1" w:history="1">
        <w:r w:rsidR="00794826" w:rsidRPr="001B4336">
          <w:rPr>
            <w:rStyle w:val="Hyperlink"/>
            <w:noProof/>
          </w:rPr>
          <w:t>4.5</w:t>
        </w:r>
        <w:r w:rsidR="00794826">
          <w:rPr>
            <w:rFonts w:asciiTheme="minorHAnsi" w:eastAsiaTheme="minorEastAsia" w:hAnsiTheme="minorHAnsi" w:cstheme="minorBidi"/>
            <w:b w:val="0"/>
            <w:smallCaps w:val="0"/>
            <w:noProof/>
            <w:szCs w:val="22"/>
          </w:rPr>
          <w:tab/>
        </w:r>
        <w:r w:rsidR="00794826" w:rsidRPr="001B4336">
          <w:rPr>
            <w:rStyle w:val="Hyperlink"/>
            <w:noProof/>
          </w:rPr>
          <w:t>GST – Ejerfortegnelsen</w:t>
        </w:r>
        <w:r w:rsidR="00794826">
          <w:rPr>
            <w:noProof/>
            <w:webHidden/>
          </w:rPr>
          <w:tab/>
        </w:r>
        <w:r w:rsidR="00794826">
          <w:rPr>
            <w:noProof/>
            <w:webHidden/>
          </w:rPr>
          <w:fldChar w:fldCharType="begin"/>
        </w:r>
        <w:r w:rsidR="00794826">
          <w:rPr>
            <w:noProof/>
            <w:webHidden/>
          </w:rPr>
          <w:instrText xml:space="preserve"> PAGEREF _Toc401161381 \h </w:instrText>
        </w:r>
        <w:r w:rsidR="00794826">
          <w:rPr>
            <w:noProof/>
            <w:webHidden/>
          </w:rPr>
        </w:r>
        <w:r w:rsidR="00794826">
          <w:rPr>
            <w:noProof/>
            <w:webHidden/>
          </w:rPr>
          <w:fldChar w:fldCharType="separate"/>
        </w:r>
        <w:r w:rsidR="009034F6">
          <w:rPr>
            <w:noProof/>
            <w:webHidden/>
          </w:rPr>
          <w:t>27</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2" w:history="1">
        <w:r w:rsidR="00794826" w:rsidRPr="001B4336">
          <w:rPr>
            <w:rStyle w:val="Hyperlink"/>
            <w:noProof/>
          </w:rPr>
          <w:t>4.6</w:t>
        </w:r>
        <w:r w:rsidR="00794826">
          <w:rPr>
            <w:rFonts w:asciiTheme="minorHAnsi" w:eastAsiaTheme="minorEastAsia" w:hAnsiTheme="minorHAnsi" w:cstheme="minorBidi"/>
            <w:b w:val="0"/>
            <w:smallCaps w:val="0"/>
            <w:noProof/>
            <w:szCs w:val="22"/>
          </w:rPr>
          <w:tab/>
        </w:r>
        <w:r w:rsidR="00794826" w:rsidRPr="001B4336">
          <w:rPr>
            <w:rStyle w:val="Hyperlink"/>
            <w:noProof/>
          </w:rPr>
          <w:t>MBBL – Bygnings- og BoligRegister (BBR)</w:t>
        </w:r>
        <w:r w:rsidR="00794826">
          <w:rPr>
            <w:noProof/>
            <w:webHidden/>
          </w:rPr>
          <w:tab/>
        </w:r>
        <w:r w:rsidR="00794826">
          <w:rPr>
            <w:noProof/>
            <w:webHidden/>
          </w:rPr>
          <w:fldChar w:fldCharType="begin"/>
        </w:r>
        <w:r w:rsidR="00794826">
          <w:rPr>
            <w:noProof/>
            <w:webHidden/>
          </w:rPr>
          <w:instrText xml:space="preserve"> PAGEREF _Toc401161382 \h </w:instrText>
        </w:r>
        <w:r w:rsidR="00794826">
          <w:rPr>
            <w:noProof/>
            <w:webHidden/>
          </w:rPr>
        </w:r>
        <w:r w:rsidR="00794826">
          <w:rPr>
            <w:noProof/>
            <w:webHidden/>
          </w:rPr>
          <w:fldChar w:fldCharType="separate"/>
        </w:r>
        <w:r w:rsidR="009034F6">
          <w:rPr>
            <w:noProof/>
            <w:webHidden/>
          </w:rPr>
          <w:t>28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3" w:history="1">
        <w:r w:rsidR="00794826" w:rsidRPr="001B4336">
          <w:rPr>
            <w:rStyle w:val="Hyperlink"/>
            <w:noProof/>
          </w:rPr>
          <w:t>4.7</w:t>
        </w:r>
        <w:r w:rsidR="00794826">
          <w:rPr>
            <w:rFonts w:asciiTheme="minorHAnsi" w:eastAsiaTheme="minorEastAsia" w:hAnsiTheme="minorHAnsi" w:cstheme="minorBidi"/>
            <w:b w:val="0"/>
            <w:smallCaps w:val="0"/>
            <w:noProof/>
            <w:szCs w:val="22"/>
          </w:rPr>
          <w:tab/>
        </w:r>
        <w:r w:rsidR="00794826" w:rsidRPr="001B4336">
          <w:rPr>
            <w:rStyle w:val="Hyperlink"/>
            <w:noProof/>
          </w:rPr>
          <w:t>TLR – Tilpasning af Tingbogen</w:t>
        </w:r>
        <w:r w:rsidR="00794826">
          <w:rPr>
            <w:noProof/>
            <w:webHidden/>
          </w:rPr>
          <w:tab/>
        </w:r>
        <w:r w:rsidR="00794826">
          <w:rPr>
            <w:noProof/>
            <w:webHidden/>
          </w:rPr>
          <w:fldChar w:fldCharType="begin"/>
        </w:r>
        <w:r w:rsidR="00794826">
          <w:rPr>
            <w:noProof/>
            <w:webHidden/>
          </w:rPr>
          <w:instrText xml:space="preserve"> PAGEREF _Toc401161383 \h </w:instrText>
        </w:r>
        <w:r w:rsidR="00794826">
          <w:rPr>
            <w:noProof/>
            <w:webHidden/>
          </w:rPr>
        </w:r>
        <w:r w:rsidR="00794826">
          <w:rPr>
            <w:noProof/>
            <w:webHidden/>
          </w:rPr>
          <w:fldChar w:fldCharType="separate"/>
        </w:r>
        <w:r w:rsidR="009034F6">
          <w:rPr>
            <w:noProof/>
            <w:webHidden/>
          </w:rPr>
          <w:t>28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4" w:history="1">
        <w:r w:rsidR="00794826" w:rsidRPr="001B4336">
          <w:rPr>
            <w:rStyle w:val="Hyperlink"/>
            <w:noProof/>
          </w:rPr>
          <w:t>4.8</w:t>
        </w:r>
        <w:r w:rsidR="00794826">
          <w:rPr>
            <w:rFonts w:asciiTheme="minorHAnsi" w:eastAsiaTheme="minorEastAsia" w:hAnsiTheme="minorHAnsi" w:cstheme="minorBidi"/>
            <w:b w:val="0"/>
            <w:smallCaps w:val="0"/>
            <w:noProof/>
            <w:szCs w:val="22"/>
          </w:rPr>
          <w:tab/>
        </w:r>
        <w:r w:rsidR="00794826" w:rsidRPr="001B4336">
          <w:rPr>
            <w:rStyle w:val="Hyperlink"/>
            <w:noProof/>
          </w:rPr>
          <w:t>SKAT – Udstilling af ejendomsvurdering</w:t>
        </w:r>
        <w:r w:rsidR="00794826">
          <w:rPr>
            <w:noProof/>
            <w:webHidden/>
          </w:rPr>
          <w:tab/>
        </w:r>
        <w:r w:rsidR="00794826">
          <w:rPr>
            <w:noProof/>
            <w:webHidden/>
          </w:rPr>
          <w:fldChar w:fldCharType="begin"/>
        </w:r>
        <w:r w:rsidR="00794826">
          <w:rPr>
            <w:noProof/>
            <w:webHidden/>
          </w:rPr>
          <w:instrText xml:space="preserve"> PAGEREF _Toc401161384 \h </w:instrText>
        </w:r>
        <w:r w:rsidR="00794826">
          <w:rPr>
            <w:noProof/>
            <w:webHidden/>
          </w:rPr>
        </w:r>
        <w:r w:rsidR="00794826">
          <w:rPr>
            <w:noProof/>
            <w:webHidden/>
          </w:rPr>
          <w:fldChar w:fldCharType="separate"/>
        </w:r>
        <w:r w:rsidR="009034F6">
          <w:rPr>
            <w:noProof/>
            <w:webHidden/>
          </w:rPr>
          <w:t>28</w:t>
        </w:r>
        <w:r w:rsidR="00794826">
          <w:rPr>
            <w:noProof/>
            <w:webHidden/>
          </w:rPr>
          <w:fldChar w:fldCharType="end"/>
        </w:r>
      </w:hyperlink>
    </w:p>
    <w:p w:rsidR="00794826" w:rsidRDefault="00F41632">
      <w:pPr>
        <w:pStyle w:val="Indholdsfortegnelse2"/>
        <w:tabs>
          <w:tab w:val="right" w:leader="dot" w:pos="8495"/>
        </w:tabs>
        <w:rPr>
          <w:rFonts w:asciiTheme="minorHAnsi" w:eastAsiaTheme="minorEastAsia" w:hAnsiTheme="minorHAnsi" w:cstheme="minorBidi"/>
          <w:b w:val="0"/>
          <w:smallCaps w:val="0"/>
          <w:noProof/>
          <w:szCs w:val="22"/>
        </w:rPr>
      </w:pPr>
      <w:hyperlink w:anchor="_Toc401161385" w:history="1">
        <w:r w:rsidR="00794826" w:rsidRPr="001B4336">
          <w:rPr>
            <w:rStyle w:val="Hyperlink"/>
            <w:noProof/>
          </w:rPr>
          <w:t>4.9</w:t>
        </w:r>
        <w:r w:rsidR="00794826">
          <w:rPr>
            <w:rFonts w:asciiTheme="minorHAnsi" w:eastAsiaTheme="minorEastAsia" w:hAnsiTheme="minorHAnsi" w:cstheme="minorBidi"/>
            <w:b w:val="0"/>
            <w:smallCaps w:val="0"/>
            <w:noProof/>
            <w:szCs w:val="22"/>
          </w:rPr>
          <w:tab/>
        </w:r>
        <w:r w:rsidR="00794826" w:rsidRPr="001B4336">
          <w:rPr>
            <w:rStyle w:val="Hyperlink"/>
            <w:noProof/>
          </w:rPr>
          <w:t>KL/KOMBIT – Økonomiløsninger</w:t>
        </w:r>
        <w:r w:rsidR="00794826">
          <w:rPr>
            <w:noProof/>
            <w:webHidden/>
          </w:rPr>
          <w:tab/>
        </w:r>
        <w:r w:rsidR="00794826">
          <w:rPr>
            <w:noProof/>
            <w:webHidden/>
          </w:rPr>
          <w:fldChar w:fldCharType="begin"/>
        </w:r>
        <w:r w:rsidR="00794826">
          <w:rPr>
            <w:noProof/>
            <w:webHidden/>
          </w:rPr>
          <w:instrText xml:space="preserve"> PAGEREF _Toc401161385 \h </w:instrText>
        </w:r>
        <w:r w:rsidR="00794826">
          <w:rPr>
            <w:noProof/>
            <w:webHidden/>
          </w:rPr>
        </w:r>
        <w:r w:rsidR="00794826">
          <w:rPr>
            <w:noProof/>
            <w:webHidden/>
          </w:rPr>
          <w:fldChar w:fldCharType="separate"/>
        </w:r>
        <w:r w:rsidR="009034F6">
          <w:rPr>
            <w:noProof/>
            <w:webHidden/>
          </w:rPr>
          <w:t>28</w:t>
        </w:r>
        <w:r w:rsidR="00794826">
          <w:rPr>
            <w:noProof/>
            <w:webHidden/>
          </w:rPr>
          <w:fldChar w:fldCharType="end"/>
        </w:r>
      </w:hyperlink>
    </w:p>
    <w:p w:rsidR="00794826" w:rsidRDefault="00F41632">
      <w:pPr>
        <w:pStyle w:val="Indholdsfortegnelse2"/>
        <w:tabs>
          <w:tab w:val="left" w:pos="970"/>
          <w:tab w:val="right" w:leader="dot" w:pos="8495"/>
        </w:tabs>
        <w:rPr>
          <w:rFonts w:asciiTheme="minorHAnsi" w:eastAsiaTheme="minorEastAsia" w:hAnsiTheme="minorHAnsi" w:cstheme="minorBidi"/>
          <w:b w:val="0"/>
          <w:smallCaps w:val="0"/>
          <w:noProof/>
          <w:szCs w:val="22"/>
        </w:rPr>
      </w:pPr>
      <w:hyperlink w:anchor="_Toc401161386" w:history="1">
        <w:r w:rsidR="00794826" w:rsidRPr="001B4336">
          <w:rPr>
            <w:rStyle w:val="Hyperlink"/>
            <w:noProof/>
          </w:rPr>
          <w:t>4.10</w:t>
        </w:r>
        <w:r w:rsidR="00794826">
          <w:rPr>
            <w:rFonts w:asciiTheme="minorHAnsi" w:eastAsiaTheme="minorEastAsia" w:hAnsiTheme="minorHAnsi" w:cstheme="minorBidi"/>
            <w:b w:val="0"/>
            <w:smallCaps w:val="0"/>
            <w:noProof/>
            <w:szCs w:val="22"/>
          </w:rPr>
          <w:tab/>
        </w:r>
        <w:r w:rsidR="00794826" w:rsidRPr="001B4336">
          <w:rPr>
            <w:rStyle w:val="Hyperlink"/>
            <w:noProof/>
          </w:rPr>
          <w:t>KL/KOMBIT – Tilpasning af ESR</w:t>
        </w:r>
        <w:r w:rsidR="00794826">
          <w:rPr>
            <w:noProof/>
            <w:webHidden/>
          </w:rPr>
          <w:tab/>
        </w:r>
        <w:r w:rsidR="00794826">
          <w:rPr>
            <w:noProof/>
            <w:webHidden/>
          </w:rPr>
          <w:fldChar w:fldCharType="begin"/>
        </w:r>
        <w:r w:rsidR="00794826">
          <w:rPr>
            <w:noProof/>
            <w:webHidden/>
          </w:rPr>
          <w:instrText xml:space="preserve"> PAGEREF _Toc401161386 \h </w:instrText>
        </w:r>
        <w:r w:rsidR="00794826">
          <w:rPr>
            <w:noProof/>
            <w:webHidden/>
          </w:rPr>
        </w:r>
        <w:r w:rsidR="00794826">
          <w:rPr>
            <w:noProof/>
            <w:webHidden/>
          </w:rPr>
          <w:fldChar w:fldCharType="separate"/>
        </w:r>
        <w:r w:rsidR="009034F6">
          <w:rPr>
            <w:noProof/>
            <w:webHidden/>
          </w:rPr>
          <w:t>28</w:t>
        </w:r>
        <w:r w:rsidR="00794826">
          <w:rPr>
            <w:noProof/>
            <w:webHidden/>
          </w:rPr>
          <w:fldChar w:fldCharType="end"/>
        </w:r>
      </w:hyperlink>
    </w:p>
    <w:p w:rsidR="00794826" w:rsidRDefault="00F41632">
      <w:pPr>
        <w:pStyle w:val="Indholdsfortegnelse2"/>
        <w:tabs>
          <w:tab w:val="left" w:pos="970"/>
          <w:tab w:val="right" w:leader="dot" w:pos="8495"/>
        </w:tabs>
        <w:rPr>
          <w:rFonts w:asciiTheme="minorHAnsi" w:eastAsiaTheme="minorEastAsia" w:hAnsiTheme="minorHAnsi" w:cstheme="minorBidi"/>
          <w:b w:val="0"/>
          <w:smallCaps w:val="0"/>
          <w:noProof/>
          <w:szCs w:val="22"/>
        </w:rPr>
      </w:pPr>
      <w:hyperlink w:anchor="_Toc401161387" w:history="1">
        <w:r w:rsidR="00794826" w:rsidRPr="001B4336">
          <w:rPr>
            <w:rStyle w:val="Hyperlink"/>
            <w:noProof/>
          </w:rPr>
          <w:t>4.11</w:t>
        </w:r>
        <w:r w:rsidR="00794826">
          <w:rPr>
            <w:rFonts w:asciiTheme="minorHAnsi" w:eastAsiaTheme="minorEastAsia" w:hAnsiTheme="minorHAnsi" w:cstheme="minorBidi"/>
            <w:b w:val="0"/>
            <w:smallCaps w:val="0"/>
            <w:noProof/>
            <w:szCs w:val="22"/>
          </w:rPr>
          <w:tab/>
        </w:r>
        <w:r w:rsidR="00794826" w:rsidRPr="001B4336">
          <w:rPr>
            <w:rStyle w:val="Hyperlink"/>
            <w:noProof/>
          </w:rPr>
          <w:t>MBBL – Tilpasning af OIS</w:t>
        </w:r>
        <w:r w:rsidR="00794826">
          <w:rPr>
            <w:noProof/>
            <w:webHidden/>
          </w:rPr>
          <w:tab/>
        </w:r>
        <w:r w:rsidR="00794826">
          <w:rPr>
            <w:noProof/>
            <w:webHidden/>
          </w:rPr>
          <w:fldChar w:fldCharType="begin"/>
        </w:r>
        <w:r w:rsidR="00794826">
          <w:rPr>
            <w:noProof/>
            <w:webHidden/>
          </w:rPr>
          <w:instrText xml:space="preserve"> PAGEREF _Toc401161387 \h </w:instrText>
        </w:r>
        <w:r w:rsidR="00794826">
          <w:rPr>
            <w:noProof/>
            <w:webHidden/>
          </w:rPr>
        </w:r>
        <w:r w:rsidR="00794826">
          <w:rPr>
            <w:noProof/>
            <w:webHidden/>
          </w:rPr>
          <w:fldChar w:fldCharType="separate"/>
        </w:r>
        <w:r w:rsidR="009034F6">
          <w:rPr>
            <w:noProof/>
            <w:webHidden/>
          </w:rPr>
          <w:t>29</w:t>
        </w:r>
        <w:r w:rsidR="00794826">
          <w:rPr>
            <w:noProof/>
            <w:webHidden/>
          </w:rPr>
          <w:fldChar w:fldCharType="end"/>
        </w:r>
      </w:hyperlink>
    </w:p>
    <w:p w:rsidR="00794826" w:rsidRDefault="00F41632">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401161388" w:history="1">
        <w:r w:rsidR="00794826" w:rsidRPr="001B4336">
          <w:rPr>
            <w:rStyle w:val="Hyperlink"/>
            <w:noProof/>
          </w:rPr>
          <w:t>Bilag A: Terminologiliste</w:t>
        </w:r>
        <w:r w:rsidR="00794826">
          <w:rPr>
            <w:noProof/>
            <w:webHidden/>
          </w:rPr>
          <w:tab/>
        </w:r>
        <w:r w:rsidR="00794826">
          <w:rPr>
            <w:noProof/>
            <w:webHidden/>
          </w:rPr>
          <w:fldChar w:fldCharType="begin"/>
        </w:r>
        <w:r w:rsidR="00794826">
          <w:rPr>
            <w:noProof/>
            <w:webHidden/>
          </w:rPr>
          <w:instrText xml:space="preserve"> PAGEREF _Toc401161388 \h </w:instrText>
        </w:r>
        <w:r w:rsidR="00794826">
          <w:rPr>
            <w:noProof/>
            <w:webHidden/>
          </w:rPr>
        </w:r>
        <w:r w:rsidR="00794826">
          <w:rPr>
            <w:noProof/>
            <w:webHidden/>
          </w:rPr>
          <w:fldChar w:fldCharType="separate"/>
        </w:r>
        <w:r w:rsidR="009034F6">
          <w:rPr>
            <w:noProof/>
            <w:webHidden/>
          </w:rPr>
          <w:t>30</w:t>
        </w:r>
        <w:r w:rsidR="00794826">
          <w:rPr>
            <w:noProof/>
            <w:webHidden/>
          </w:rPr>
          <w:fldChar w:fldCharType="end"/>
        </w:r>
      </w:hyperlink>
    </w:p>
    <w:p w:rsidR="005B7AD0" w:rsidRPr="00AC5579" w:rsidRDefault="000C5EB6" w:rsidP="00EB29E0">
      <w:pPr>
        <w:pStyle w:val="Indholdsfortegnelse1"/>
        <w:tabs>
          <w:tab w:val="right" w:leader="dot" w:pos="8495"/>
        </w:tabs>
      </w:pPr>
      <w:r w:rsidRPr="00AC5579">
        <w:rPr>
          <w:bCs w:val="0"/>
          <w:caps w:val="0"/>
        </w:rPr>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401161344"/>
      <w:bookmarkEnd w:id="8"/>
      <w:bookmarkEnd w:id="9"/>
      <w:r w:rsidRPr="00AC5579">
        <w:lastRenderedPageBreak/>
        <w:t>Indledning</w:t>
      </w:r>
      <w:bookmarkEnd w:id="10"/>
      <w:bookmarkEnd w:id="11"/>
      <w:bookmarkEnd w:id="12"/>
    </w:p>
    <w:p w:rsidR="004165E3" w:rsidRDefault="004165E3" w:rsidP="004165E3">
      <w:pPr>
        <w:pStyle w:val="Overskrift2"/>
      </w:pPr>
      <w:bookmarkStart w:id="13" w:name="_Toc401161345"/>
      <w:r w:rsidRPr="005C2919">
        <w:rPr>
          <w:lang w:val="da-DK"/>
        </w:rPr>
        <w:t>Baggrund</w:t>
      </w:r>
      <w:bookmarkEnd w:id="13"/>
    </w:p>
    <w:p w:rsidR="006D5EF3" w:rsidRDefault="006D5EF3" w:rsidP="006D5EF3">
      <w:r>
        <w:t>En række forudsætninger har ændret sig siden den oprindelige implementeringsplan blev godkendt og risikovurderet i juni 2013. Det drejer sig primært om:</w:t>
      </w:r>
    </w:p>
    <w:p w:rsidR="00A6331A" w:rsidRDefault="006D5EF3" w:rsidP="003C0F38">
      <w:pPr>
        <w:numPr>
          <w:ilvl w:val="0"/>
          <w:numId w:val="20"/>
        </w:numPr>
        <w:spacing w:before="60"/>
        <w:ind w:left="714" w:hanging="357"/>
        <w:jc w:val="left"/>
      </w:pPr>
      <w:r w:rsidRPr="00385EDC">
        <w:t xml:space="preserve">Datafordeleren har en senere implementering end </w:t>
      </w:r>
      <w:r>
        <w:t>i den oprindelige plan</w:t>
      </w:r>
      <w:r w:rsidR="0033652F">
        <w:t xml:space="preserve">, </w:t>
      </w:r>
      <w:r w:rsidR="00A6331A">
        <w:t>hvilket har påvirket projekternes milepæle</w:t>
      </w:r>
      <w:r w:rsidR="003516A9">
        <w:t xml:space="preserve"> i negativ retning.</w:t>
      </w:r>
    </w:p>
    <w:p w:rsidR="00DB236D" w:rsidRDefault="003C0F38" w:rsidP="003C0F38">
      <w:pPr>
        <w:numPr>
          <w:ilvl w:val="0"/>
          <w:numId w:val="20"/>
        </w:numPr>
        <w:spacing w:before="60"/>
        <w:ind w:left="714" w:hanging="357"/>
        <w:jc w:val="left"/>
      </w:pPr>
      <w:r>
        <w:t>Samspillet mellem GD</w:t>
      </w:r>
      <w:r w:rsidR="006D5EF3">
        <w:t xml:space="preserve">1 registre og Datafordeler har vist sig mere kompliceret end antaget i den oprindelige implementeringsplan. </w:t>
      </w:r>
    </w:p>
    <w:p w:rsidR="006D5EF3" w:rsidRPr="00385EDC" w:rsidRDefault="00DB236D" w:rsidP="003C0F38">
      <w:pPr>
        <w:numPr>
          <w:ilvl w:val="0"/>
          <w:numId w:val="20"/>
        </w:numPr>
        <w:spacing w:before="60"/>
        <w:ind w:left="714" w:hanging="357"/>
        <w:jc w:val="left"/>
      </w:pPr>
      <w:r>
        <w:t>En</w:t>
      </w:r>
      <w:r w:rsidRPr="00EB7F95">
        <w:t xml:space="preserve"> række forudsætninger</w:t>
      </w:r>
      <w:r>
        <w:t xml:space="preserve"> er anderledes i dag end de var da den oprindelige plan blev lavet</w:t>
      </w:r>
      <w:r w:rsidR="00E9791B">
        <w:t>.</w:t>
      </w:r>
      <w:r>
        <w:t xml:space="preserve"> </w:t>
      </w:r>
      <w:r w:rsidR="006D5EF3">
        <w:t>I den forbindelse er en del opgaver, som oprindelig var antaget løst i regi af GD7, tilgået GD1 projekterne.</w:t>
      </w:r>
    </w:p>
    <w:p w:rsidR="003C0F38" w:rsidRDefault="006D5EF3" w:rsidP="003C0F38">
      <w:pPr>
        <w:numPr>
          <w:ilvl w:val="0"/>
          <w:numId w:val="20"/>
        </w:numPr>
        <w:spacing w:before="60"/>
        <w:ind w:left="714" w:hanging="357"/>
        <w:jc w:val="left"/>
      </w:pPr>
      <w:r w:rsidRPr="00385EDC">
        <w:t>E</w:t>
      </w:r>
      <w:r>
        <w:t>tablering af e</w:t>
      </w:r>
      <w:r w:rsidRPr="00385EDC">
        <w:t xml:space="preserve">n række fælles grunddataforudsætninger </w:t>
      </w:r>
      <w:r>
        <w:t>– bl.a. til brug for GD1 registrenes udbud – krævede en væsentlig større indsats</w:t>
      </w:r>
      <w:r w:rsidR="0033652F">
        <w:t xml:space="preserve"> ifb. den fælles afklaring i Grunddataprogrammet</w:t>
      </w:r>
      <w:r>
        <w:t xml:space="preserve">, hvorfor grundlaget for udbud mv. ikke </w:t>
      </w:r>
      <w:r w:rsidR="005C2919">
        <w:t xml:space="preserve">- </w:t>
      </w:r>
      <w:r w:rsidR="003C0F38">
        <w:t xml:space="preserve">som </w:t>
      </w:r>
      <w:r w:rsidR="003C0F38" w:rsidRPr="00385EDC">
        <w:t xml:space="preserve">forudsat </w:t>
      </w:r>
      <w:r w:rsidR="005C2919">
        <w:t xml:space="preserve">- </w:t>
      </w:r>
      <w:r>
        <w:t xml:space="preserve">var etableret </w:t>
      </w:r>
      <w:r w:rsidRPr="00385EDC">
        <w:t>i løbet af 2013</w:t>
      </w:r>
      <w:r w:rsidR="003C0F38">
        <w:t>.</w:t>
      </w:r>
      <w:r w:rsidR="0033652F">
        <w:t xml:space="preserve"> De fleste af disse blev først afklaret juni 2014.</w:t>
      </w:r>
    </w:p>
    <w:p w:rsidR="003C0F38" w:rsidRDefault="003C0F38" w:rsidP="003C0F38">
      <w:pPr>
        <w:numPr>
          <w:ilvl w:val="0"/>
          <w:numId w:val="20"/>
        </w:numPr>
        <w:spacing w:before="60"/>
        <w:ind w:left="714" w:hanging="357"/>
        <w:jc w:val="left"/>
      </w:pPr>
      <w:r>
        <w:t xml:space="preserve">Ejerfortegnelsen kunne alligevel ikke etableres rettidigt i regi af Tinglysningsretten, hvorfor etablering af denne er flyttet til Geodatastyrelsen. Omlægningen har medført </w:t>
      </w:r>
      <w:r w:rsidR="005C2919">
        <w:t xml:space="preserve">tab af kalendertid og dermed </w:t>
      </w:r>
      <w:r>
        <w:t>en forsinkelse af etableringen af dette register.</w:t>
      </w:r>
    </w:p>
    <w:p w:rsidR="00E9791B" w:rsidRPr="00385EDC" w:rsidRDefault="00E9791B" w:rsidP="00E9791B">
      <w:pPr>
        <w:numPr>
          <w:ilvl w:val="0"/>
          <w:numId w:val="20"/>
        </w:numPr>
        <w:spacing w:before="60"/>
        <w:ind w:left="714" w:hanging="357"/>
        <w:jc w:val="left"/>
      </w:pPr>
      <w:r w:rsidRPr="00385EDC">
        <w:t>Valg af udbudsform er ændret i nogle projekter</w:t>
      </w:r>
      <w:r>
        <w:t xml:space="preserve"> med deraf påvirkning af projektets milepæle</w:t>
      </w:r>
      <w:r w:rsidRPr="00385EDC">
        <w:t>.</w:t>
      </w:r>
    </w:p>
    <w:p w:rsidR="00E9791B" w:rsidRDefault="0033652F" w:rsidP="00E9791B">
      <w:pPr>
        <w:pStyle w:val="Listeafsnit"/>
        <w:numPr>
          <w:ilvl w:val="0"/>
          <w:numId w:val="20"/>
        </w:numPr>
        <w:spacing w:before="60"/>
        <w:contextualSpacing w:val="0"/>
        <w:jc w:val="left"/>
      </w:pPr>
      <w:r>
        <w:t>KL/KOMBIT</w:t>
      </w:r>
      <w:r w:rsidR="00E9791B">
        <w:t xml:space="preserve"> har indmeldt en ”</w:t>
      </w:r>
      <w:proofErr w:type="spellStart"/>
      <w:r w:rsidR="00E9791B" w:rsidRPr="001317E1">
        <w:t>Frozen</w:t>
      </w:r>
      <w:proofErr w:type="spellEnd"/>
      <w:r w:rsidR="00E9791B">
        <w:t xml:space="preserve"> zone” ift. ændringer i ESR, som kan påvirke ejendomsbeskatningen. Dette var ikke indmeldt ifb. </w:t>
      </w:r>
      <w:proofErr w:type="gramStart"/>
      <w:r w:rsidR="00E9791B">
        <w:t>den oprindelige plan.</w:t>
      </w:r>
      <w:proofErr w:type="gramEnd"/>
      <w:r w:rsidR="00E9791B">
        <w:br/>
        <w:t>”</w:t>
      </w:r>
      <w:proofErr w:type="spellStart"/>
      <w:r w:rsidR="00E9791B" w:rsidRPr="001317E1">
        <w:t>Frozen</w:t>
      </w:r>
      <w:proofErr w:type="spellEnd"/>
      <w:r w:rsidR="00E9791B">
        <w:t xml:space="preserve"> zone” løber fra august til og med februar, hvilket reelt kun giver ca. 3 måneder til mulig idriftsættelse af ændringer i ESR. I den tidligere implementeringsplan var der planlagt med en løbende tilpasning af ESR i takt med de forskellige ejendomstyper </w:t>
      </w:r>
      <w:proofErr w:type="gramStart"/>
      <w:r w:rsidR="00E9791B">
        <w:t>mv.  blev</w:t>
      </w:r>
      <w:proofErr w:type="gramEnd"/>
      <w:r w:rsidR="00E9791B">
        <w:t xml:space="preserve"> implementeret </w:t>
      </w:r>
      <w:r>
        <w:t>i grunddataregistrene. Med en ”</w:t>
      </w:r>
      <w:proofErr w:type="spellStart"/>
      <w:r w:rsidRPr="005505B2">
        <w:t>frozen</w:t>
      </w:r>
      <w:proofErr w:type="spellEnd"/>
      <w:r>
        <w:t xml:space="preserve"> zone” omfattende det meste af kalenderåret er dette ikke muligt i praksis.</w:t>
      </w:r>
    </w:p>
    <w:p w:rsidR="0033652F" w:rsidRDefault="0033652F" w:rsidP="00E9791B">
      <w:pPr>
        <w:pStyle w:val="Listeafsnit"/>
        <w:numPr>
          <w:ilvl w:val="0"/>
          <w:numId w:val="20"/>
        </w:numPr>
        <w:spacing w:before="60"/>
        <w:contextualSpacing w:val="0"/>
        <w:jc w:val="left"/>
      </w:pPr>
      <w:r>
        <w:t>Datafordeleren (GD7) har i udbudsmaterialet</w:t>
      </w:r>
      <w:r w:rsidR="0047389B">
        <w:t xml:space="preserve"> og i den hidt</w:t>
      </w:r>
      <w:r>
        <w:t>idige forhandling med den valgte DAF-leverandør forudsat en ”</w:t>
      </w:r>
      <w:proofErr w:type="spellStart"/>
      <w:r>
        <w:t>big</w:t>
      </w:r>
      <w:proofErr w:type="spellEnd"/>
      <w:r>
        <w:t xml:space="preserve"> bang”</w:t>
      </w:r>
      <w:r w:rsidR="0047389B">
        <w:t xml:space="preserve"> implementering omkring 1. juli 2016.</w:t>
      </w:r>
      <w:r w:rsidR="0047389B">
        <w:br/>
        <w:t>Dette er ikke foreneligt med GD1 – dels er en implementering midt i sommerferien ikke ønskværdig, dels er en ”</w:t>
      </w:r>
      <w:proofErr w:type="spellStart"/>
      <w:r w:rsidR="0047389B">
        <w:t>big</w:t>
      </w:r>
      <w:proofErr w:type="spellEnd"/>
      <w:r w:rsidR="0047389B">
        <w:t xml:space="preserve"> bang” implementering ikke mulig. Det er et vilkår for GD1, at der skal sker en trinvis idriftsættelse af de forskellige registerprojekter.</w:t>
      </w:r>
      <w:r w:rsidR="0047389B">
        <w:br/>
        <w:t>Derfor er der behov for en justering og samordning af planerne for GD1, GD2 og GD7, således disse samordnes i en for alle parter brugbar fælles implementeringsplan.</w:t>
      </w:r>
    </w:p>
    <w:p w:rsidR="00AC3334" w:rsidRPr="005505B2" w:rsidRDefault="00AC3334" w:rsidP="00AC3334"/>
    <w:p w:rsidR="003C1547" w:rsidRDefault="003C1547" w:rsidP="003C1547">
      <w:r>
        <w:t>Som resultat af bl.a. ovenstående er der i efteråret 2014 gennemført en fælles replanlægning af GD1, GD2 og GD7,</w:t>
      </w:r>
      <w:r w:rsidR="00E51F8A">
        <w:t xml:space="preserve"> </w:t>
      </w:r>
      <w:r>
        <w:t>som har taget højde for de indtrufne forsinkelser og indarbejde</w:t>
      </w:r>
      <w:r w:rsidR="00E51F8A">
        <w:t>t</w:t>
      </w:r>
      <w:r>
        <w:t xml:space="preserve"> d</w:t>
      </w:r>
      <w:r w:rsidR="00E51F8A">
        <w:t xml:space="preserve">e fælles forudsætninger, som </w:t>
      </w:r>
      <w:r>
        <w:t xml:space="preserve">er aftalt </w:t>
      </w:r>
      <w:r w:rsidR="00E51F8A">
        <w:t xml:space="preserve">mellem GD1, GD2 og GD7 </w:t>
      </w:r>
      <w:r>
        <w:t>for så vidt angår de arkitekturmæssige rammer.</w:t>
      </w:r>
    </w:p>
    <w:p w:rsidR="003C1547" w:rsidRPr="005505B2" w:rsidRDefault="00E51F8A" w:rsidP="00AC3334">
      <w:r>
        <w:t>Implementeringsp</w:t>
      </w:r>
      <w:r w:rsidR="003C1547">
        <w:t xml:space="preserve">lanen her er resultatet af denne </w:t>
      </w:r>
      <w:proofErr w:type="spellStart"/>
      <w:r w:rsidR="003C1547">
        <w:t>replanlægning</w:t>
      </w:r>
      <w:proofErr w:type="spellEnd"/>
      <w:r w:rsidR="003C1547">
        <w:t>.</w:t>
      </w:r>
    </w:p>
    <w:p w:rsidR="00AC3334" w:rsidRDefault="00AC3334" w:rsidP="00AC3334">
      <w:pPr>
        <w:pStyle w:val="Overskrift2"/>
        <w:rPr>
          <w:lang w:val="da-DK"/>
        </w:rPr>
      </w:pPr>
      <w:bookmarkStart w:id="14" w:name="_Toc401161346"/>
      <w:r w:rsidRPr="00C547A2">
        <w:rPr>
          <w:lang w:val="da-DK"/>
        </w:rPr>
        <w:lastRenderedPageBreak/>
        <w:t>Formål</w:t>
      </w:r>
      <w:r>
        <w:rPr>
          <w:lang w:val="da-DK"/>
        </w:rPr>
        <w:t xml:space="preserve"> og anvendelse</w:t>
      </w:r>
      <w:bookmarkEnd w:id="14"/>
    </w:p>
    <w:p w:rsidR="003534DC" w:rsidRPr="00861CD1" w:rsidRDefault="003534DC" w:rsidP="00861CD1">
      <w:pPr>
        <w:pStyle w:val="Overskrift3"/>
      </w:pPr>
      <w:bookmarkStart w:id="15" w:name="_Toc400109663"/>
      <w:bookmarkStart w:id="16" w:name="_Toc401161347"/>
      <w:r w:rsidRPr="00861CD1">
        <w:t>Formål</w:t>
      </w:r>
      <w:bookmarkEnd w:id="15"/>
      <w:bookmarkEnd w:id="16"/>
    </w:p>
    <w:p w:rsidR="003534DC" w:rsidRPr="003534DC" w:rsidRDefault="00E51F8A" w:rsidP="00861CD1">
      <w:pPr>
        <w:spacing w:after="120"/>
      </w:pPr>
      <w:r>
        <w:t>I</w:t>
      </w:r>
      <w:r w:rsidR="00861CD1">
        <w:t>mplementeringsplan</w:t>
      </w:r>
      <w:r>
        <w:t>en</w:t>
      </w:r>
      <w:r w:rsidR="00861CD1">
        <w:t xml:space="preserve"> </w:t>
      </w:r>
      <w:r w:rsidR="00861CD1" w:rsidRPr="007A0492">
        <w:t>etablere</w:t>
      </w:r>
      <w:r w:rsidR="00861CD1">
        <w:t>r</w:t>
      </w:r>
      <w:r w:rsidR="00861CD1" w:rsidRPr="007A0492">
        <w:t xml:space="preserve"> grundlaget for</w:t>
      </w:r>
      <w:r w:rsidR="00861CD1">
        <w:t>,</w:t>
      </w:r>
      <w:r w:rsidR="00861CD1" w:rsidRPr="007A0492">
        <w:t xml:space="preserve"> at der hurtigst muligt kan ske en koordineret idriftsættelse af </w:t>
      </w:r>
      <w:r w:rsidR="005C2919">
        <w:t xml:space="preserve">grunddataregistrene i </w:t>
      </w:r>
      <w:r>
        <w:t>Ejendomsdataprogrammet (</w:t>
      </w:r>
      <w:r w:rsidR="005C2919">
        <w:t>GD1</w:t>
      </w:r>
      <w:r>
        <w:t>)</w:t>
      </w:r>
      <w:r w:rsidR="005C2919">
        <w:t xml:space="preserve"> </w:t>
      </w:r>
      <w:r w:rsidR="00861CD1">
        <w:t xml:space="preserve">samordnet med planerne for </w:t>
      </w:r>
      <w:r w:rsidR="005C2919">
        <w:t xml:space="preserve">Adresseprogrammet (GD2) og </w:t>
      </w:r>
      <w:r w:rsidR="00861CD1">
        <w:t>den fællesoffentlige Datafordeler (GD7)</w:t>
      </w:r>
      <w:r w:rsidR="00861CD1" w:rsidRPr="007A0492">
        <w:t>.</w:t>
      </w:r>
    </w:p>
    <w:p w:rsidR="00365379" w:rsidRDefault="00861CD1" w:rsidP="00365379">
      <w:r>
        <w:t>I</w:t>
      </w:r>
      <w:r w:rsidR="00365379" w:rsidRPr="00AC5579">
        <w:t>mplementeringsplan</w:t>
      </w:r>
      <w:r w:rsidR="00E51F8A">
        <w:t>en</w:t>
      </w:r>
      <w:r w:rsidR="00365379" w:rsidRPr="00AC5579">
        <w:t xml:space="preserve"> </w:t>
      </w:r>
      <w:r w:rsidR="005C2919">
        <w:t xml:space="preserve">skal </w:t>
      </w:r>
      <w:r w:rsidR="00365379" w:rsidRPr="00AC5579">
        <w:t xml:space="preserve">give en samlet oversigt over </w:t>
      </w:r>
      <w:r>
        <w:t>ejendomsdata</w:t>
      </w:r>
      <w:r w:rsidR="00365379" w:rsidRPr="00AC5579">
        <w:t>programmets gennemførelse</w:t>
      </w:r>
      <w:r>
        <w:t xml:space="preserve"> ved at sammenholde </w:t>
      </w:r>
      <w:r w:rsidR="00365379">
        <w:t>programmets projekter og arbejdspakker med tilhørende leverancer</w:t>
      </w:r>
      <w:r w:rsidR="005C2919">
        <w:t xml:space="preserve"> – både internt i GD1 og ift. </w:t>
      </w:r>
      <w:proofErr w:type="gramStart"/>
      <w:r w:rsidR="005C2919">
        <w:t>eksterne afhængigheder</w:t>
      </w:r>
      <w:r w:rsidR="00365379">
        <w:t>.</w:t>
      </w:r>
      <w:proofErr w:type="gramEnd"/>
      <w:r w:rsidR="00365379">
        <w:t xml:space="preserve"> </w:t>
      </w:r>
      <w:r w:rsidR="00365379" w:rsidRPr="00AC5579">
        <w:t xml:space="preserve">I </w:t>
      </w:r>
      <w:r w:rsidR="00365379">
        <w:t>planen</w:t>
      </w:r>
      <w:r w:rsidR="00365379" w:rsidRPr="00AC5579">
        <w:t xml:space="preserve"> fastlægges implementeringsrækkefølgen af de aktiviteter, som skaber afhængigheder hos andre aktører. </w:t>
      </w:r>
    </w:p>
    <w:p w:rsidR="00365379" w:rsidRDefault="00365379" w:rsidP="00365379">
      <w:pPr>
        <w:spacing w:before="120" w:after="120"/>
      </w:pPr>
      <w:r>
        <w:t>I implementeringsplanen er medtaget</w:t>
      </w:r>
      <w:r w:rsidRPr="00AC5579">
        <w:t xml:space="preserve"> såvel aktiviteter, hvor den enkelte aftalepartner har det fulde </w:t>
      </w:r>
      <w:r>
        <w:t xml:space="preserve">ansvar for </w:t>
      </w:r>
      <w:r w:rsidRPr="00AC5579">
        <w:t>implementering</w:t>
      </w:r>
      <w:r>
        <w:t xml:space="preserve">en, </w:t>
      </w:r>
      <w:r w:rsidRPr="00AC5579">
        <w:t>som aktiviteter af tværgående art. Planen prioriterer det tværgående</w:t>
      </w:r>
      <w:r w:rsidR="00E51F8A">
        <w:t>,</w:t>
      </w:r>
      <w:r w:rsidRPr="00AC5579">
        <w:t xml:space="preserve"> hvorfor der er mindre fokus på detaljer, </w:t>
      </w:r>
      <w:proofErr w:type="gramStart"/>
      <w:r w:rsidRPr="00AC5579">
        <w:t>som  alene</w:t>
      </w:r>
      <w:proofErr w:type="gramEnd"/>
      <w:r w:rsidRPr="00AC5579">
        <w:t xml:space="preserve"> har forretningsmæssig betydning for den enkelte aftalepart.</w:t>
      </w:r>
    </w:p>
    <w:p w:rsidR="00861CD1" w:rsidRPr="00861CD1" w:rsidRDefault="00861CD1" w:rsidP="00861CD1">
      <w:pPr>
        <w:pStyle w:val="Overskrift3"/>
      </w:pPr>
      <w:bookmarkStart w:id="17" w:name="_Toc401161348"/>
      <w:r>
        <w:t>Anvendelse</w:t>
      </w:r>
      <w:bookmarkEnd w:id="17"/>
    </w:p>
    <w:p w:rsidR="00AC3334" w:rsidRDefault="00AC3334" w:rsidP="005C2919">
      <w:r>
        <w:t xml:space="preserve">Den fælles implementeringsplan konkretiserer programmets aftaler og </w:t>
      </w:r>
      <w:r w:rsidRPr="00AC5579">
        <w:t>danne</w:t>
      </w:r>
      <w:r>
        <w:t>r</w:t>
      </w:r>
      <w:r w:rsidRPr="00AC5579">
        <w:t xml:space="preserve"> grundlaget for </w:t>
      </w:r>
      <w:r>
        <w:t xml:space="preserve">styring og </w:t>
      </w:r>
      <w:r w:rsidRPr="00AC5579">
        <w:t xml:space="preserve">planlægning af </w:t>
      </w:r>
      <w:r w:rsidR="00E51F8A">
        <w:t>e</w:t>
      </w:r>
      <w:r w:rsidR="005C2919">
        <w:t>jendomsdata</w:t>
      </w:r>
      <w:r w:rsidRPr="00AC5579">
        <w:t>programmet</w:t>
      </w:r>
      <w:r>
        <w:t>s</w:t>
      </w:r>
      <w:r w:rsidRPr="00AC5579">
        <w:t xml:space="preserve"> </w:t>
      </w:r>
      <w:r>
        <w:t xml:space="preserve">gennemførelse – herunder </w:t>
      </w:r>
      <w:r w:rsidRPr="00AC5579">
        <w:t>koordin</w:t>
      </w:r>
      <w:r>
        <w:t xml:space="preserve">eringen </w:t>
      </w:r>
      <w:r w:rsidRPr="00AC5579">
        <w:t>me</w:t>
      </w:r>
      <w:r>
        <w:t>llem aftaleparternes projekter.</w:t>
      </w:r>
      <w:r w:rsidR="005C2919">
        <w:t xml:space="preserve"> Planen er det</w:t>
      </w:r>
      <w:r w:rsidRPr="00AC5579">
        <w:t xml:space="preserve"> central</w:t>
      </w:r>
      <w:r>
        <w:t>e</w:t>
      </w:r>
      <w:r w:rsidRPr="00AC5579">
        <w:t xml:space="preserve"> styrings</w:t>
      </w:r>
      <w:r>
        <w:t>grundlag</w:t>
      </w:r>
      <w:r w:rsidRPr="00AC5579">
        <w:t xml:space="preserve"> for det samlede program. Aftaleparterne er forpligtet i forhold til de leverancer og tidsfrister, der er meldt ind til implementeringsplanen.</w:t>
      </w:r>
    </w:p>
    <w:p w:rsidR="00AC3334" w:rsidRDefault="00AC3334" w:rsidP="00365379">
      <w:pPr>
        <w:spacing w:before="120" w:after="120"/>
      </w:pPr>
      <w:r>
        <w:t>Planen</w:t>
      </w:r>
      <w:r w:rsidRPr="00AC5579">
        <w:t xml:space="preserve"> supplere</w:t>
      </w:r>
      <w:r>
        <w:t>r</w:t>
      </w:r>
      <w:r w:rsidRPr="00AC5579">
        <w:t xml:space="preserve"> </w:t>
      </w:r>
      <w:proofErr w:type="gramStart"/>
      <w:r w:rsidRPr="00AC5579">
        <w:t>den  arbejdsplanlægning</w:t>
      </w:r>
      <w:proofErr w:type="gramEnd"/>
      <w:r w:rsidRPr="00AC5579">
        <w:t>, som er nødvendig for aftaleparternes styring af  egne projekter.  Den fælles implementeringsplan skal sikre og dokumentere</w:t>
      </w:r>
      <w:r>
        <w:t>,</w:t>
      </w:r>
      <w:r w:rsidRPr="00AC5579">
        <w:t xml:space="preserve"> at aftaleparternes implementeringsplaner er koordineret indbyrdes.</w:t>
      </w:r>
    </w:p>
    <w:p w:rsidR="00AC3334" w:rsidRDefault="00AC3334" w:rsidP="00AC3334">
      <w:r>
        <w:t xml:space="preserve">På programniveau er der behov for en løbende indsigt i fremdriften ift. </w:t>
      </w:r>
      <w:proofErr w:type="gramStart"/>
      <w:r>
        <w:t>de aftalte leverancer.</w:t>
      </w:r>
      <w:proofErr w:type="gramEnd"/>
      <w:r>
        <w:t xml:space="preserve"> Dette skyldes bl.a., at en forsinkelse hos en aftalepartner kan have konsekvenser for projekter og aktiviteter hos en anden aftalepartner. </w:t>
      </w:r>
      <w:r w:rsidR="00E51F8A">
        <w:t>Planen skal</w:t>
      </w:r>
      <w:r>
        <w:t xml:space="preserve"> derfor </w:t>
      </w:r>
      <w:r w:rsidR="00E51F8A">
        <w:t>anvendes til en</w:t>
      </w:r>
      <w:r>
        <w:t xml:space="preserve"> løbende opfølgning på fremdriften</w:t>
      </w:r>
      <w:r w:rsidR="00E51F8A">
        <w:t xml:space="preserve"> i de enkelte projekter og programmet som helhed</w:t>
      </w:r>
      <w:r>
        <w:t xml:space="preserve"> – specielt ift. </w:t>
      </w:r>
      <w:proofErr w:type="gramStart"/>
      <w:r>
        <w:t xml:space="preserve">om </w:t>
      </w:r>
      <w:r w:rsidR="00E51F8A">
        <w:t>de aftalte produkter</w:t>
      </w:r>
      <w:r>
        <w:t xml:space="preserve"> når i mål i rette kvalitet til aftalt tidsfrist.</w:t>
      </w:r>
      <w:proofErr w:type="gramEnd"/>
      <w:r>
        <w:t xml:space="preserve"> </w:t>
      </w:r>
    </w:p>
    <w:p w:rsidR="00AC3334" w:rsidRDefault="00AC3334" w:rsidP="00800450">
      <w:pPr>
        <w:spacing w:before="120"/>
      </w:pPr>
      <w:r>
        <w:t xml:space="preserve">Der vil være behov for en løbende justering af </w:t>
      </w:r>
      <w:proofErr w:type="gramStart"/>
      <w:r>
        <w:t>planen  i</w:t>
      </w:r>
      <w:proofErr w:type="gramEnd"/>
      <w:r>
        <w:t xml:space="preserve"> </w:t>
      </w:r>
      <w:r w:rsidRPr="00AC5579">
        <w:t>takt med</w:t>
      </w:r>
      <w:r>
        <w:t xml:space="preserve"> implementeringens fremdrift.</w:t>
      </w:r>
      <w:r w:rsidRPr="00AC5579">
        <w:t xml:space="preserve"> I den forbindelse har </w:t>
      </w:r>
      <w:r>
        <w:t>ejendomsdata</w:t>
      </w:r>
      <w:r w:rsidRPr="00AC5579">
        <w:t xml:space="preserve">programmet </w:t>
      </w:r>
      <w:r>
        <w:t xml:space="preserve">og dertil hørende projektlederforum </w:t>
      </w:r>
      <w:r w:rsidRPr="00AC5579">
        <w:t>en selvstændig opgave med at identificere og følge udviklingen i de forudsætninger</w:t>
      </w:r>
      <w:r w:rsidR="005C2919">
        <w:t>, som</w:t>
      </w:r>
      <w:r w:rsidRPr="00AC5579">
        <w:t xml:space="preserve"> implementeri</w:t>
      </w:r>
      <w:r>
        <w:t>n</w:t>
      </w:r>
      <w:r w:rsidRPr="00AC5579">
        <w:t>g</w:t>
      </w:r>
      <w:r>
        <w:t>splanen</w:t>
      </w:r>
      <w:r w:rsidRPr="00AC5579">
        <w:t xml:space="preserve"> hviler på</w:t>
      </w:r>
      <w:r w:rsidR="005C2919">
        <w:t>, samt</w:t>
      </w:r>
      <w:r w:rsidRPr="00AC5579">
        <w:t xml:space="preserve"> andre forhold, som har betydning for implementeringens </w:t>
      </w:r>
      <w:r>
        <w:t>planmæssige fremdrift.</w:t>
      </w:r>
    </w:p>
    <w:p w:rsidR="00E642D1" w:rsidRPr="00861CD1" w:rsidRDefault="00E642D1" w:rsidP="00E642D1">
      <w:pPr>
        <w:pStyle w:val="Overskrift3"/>
      </w:pPr>
      <w:bookmarkStart w:id="18" w:name="_Toc401161349"/>
      <w:r>
        <w:t>Vedligeholdelse</w:t>
      </w:r>
      <w:r w:rsidR="007854D0">
        <w:t xml:space="preserve"> af implementeringsplanen</w:t>
      </w:r>
      <w:bookmarkEnd w:id="18"/>
    </w:p>
    <w:p w:rsidR="00E642D1" w:rsidRDefault="00E642D1" w:rsidP="00800450">
      <w:pPr>
        <w:spacing w:before="120"/>
      </w:pPr>
      <w:r>
        <w:t>Implementeringsplanen forventes at være rimelig stabil gennem ejendomsdataprogrammets implementering. Naturligvis vil der sker nogle tidsmæssige justeringer, men kun hvis disse har større betydning for den samlede plan, vil der være et behov for at opdatere denne implementeringsplan. Mindre forskydninger på et par uger ift. planens hovedmilepæle bør ikke ændre det overordnede ”landkort”, som denne implementeringsplan udgør.</w:t>
      </w:r>
    </w:p>
    <w:p w:rsidR="00E642D1" w:rsidRDefault="00E642D1" w:rsidP="00800450">
      <w:pPr>
        <w:spacing w:before="120"/>
      </w:pPr>
      <w:r>
        <w:t>Den detaljerede styring af fremdriften ift. implementeringsplanens arbejdspakker og milepæle håndteres i stedet i ejendomsdataprogrammets MS Project plan. Det er her de faktiske tider indmeldes, og det er også her konsekvensanalyser mv. foretages</w:t>
      </w:r>
      <w:r w:rsidR="007854D0">
        <w:t xml:space="preserve"> på baggrund af fremdriften</w:t>
      </w:r>
      <w:r>
        <w:t>.</w:t>
      </w:r>
    </w:p>
    <w:p w:rsidR="007854D0" w:rsidRPr="00861CD1" w:rsidRDefault="00DB42CA" w:rsidP="007854D0">
      <w:pPr>
        <w:pStyle w:val="Overskrift3"/>
      </w:pPr>
      <w:bookmarkStart w:id="19" w:name="_Toc401161350"/>
      <w:r>
        <w:lastRenderedPageBreak/>
        <w:t>Produktbaseret planlægning</w:t>
      </w:r>
      <w:bookmarkEnd w:id="19"/>
    </w:p>
    <w:p w:rsidR="00DB42CA" w:rsidRDefault="00DB42CA" w:rsidP="00DB42CA">
      <w:r>
        <w:t>Implementeringsplanen er etableret gennem teknikken produktbaseret planlægning, hvor fokus rettes mod de produkter/leverancer, der skal etableres. Fremskaffelse af de enkelte produkter foretages i arbejdspakker, som beskriver processen for frembringelse af produktet – herunder de tidsmæssige krav til varighed og deadlines. Erfaringen fra det hidtidige arbejde i GD1 og GD2 er, at beskrivelsen af produkter og arbejdspakker med fordel kan samles i én beskrivelse, hvorfor dette er gjort med denne version af implementeringsplanen.</w:t>
      </w:r>
    </w:p>
    <w:p w:rsidR="007854D0" w:rsidRDefault="00DB42CA" w:rsidP="00800450">
      <w:pPr>
        <w:spacing w:before="120"/>
      </w:pPr>
      <w:r>
        <w:t xml:space="preserve">Arbejdspakker og produkter vil eksistere på mange niveauer i forskellige detaljeringsgrader – svarende til de forskellige planlægningsniveauer (delprogram, projekt, team etc.). Dokumentet her fokuserer kun på arbejdspakker og produkter, som er relevante for planlægning på delprogramniveau. Det enkelte projekt vil arbejde med et andet detaljeringsniveau ift. </w:t>
      </w:r>
      <w:proofErr w:type="gramStart"/>
      <w:r>
        <w:t>projektets arbejdspakker.</w:t>
      </w:r>
      <w:proofErr w:type="gramEnd"/>
      <w:r>
        <w:t xml:space="preserve">  </w:t>
      </w:r>
    </w:p>
    <w:p w:rsidR="00AC3334" w:rsidRDefault="00AC3334" w:rsidP="004165E3">
      <w:pPr>
        <w:pStyle w:val="Overskrift2"/>
        <w:rPr>
          <w:lang w:val="da-DK"/>
        </w:rPr>
      </w:pPr>
      <w:bookmarkStart w:id="20" w:name="_Toc401161351"/>
      <w:r w:rsidRPr="00A6748A">
        <w:rPr>
          <w:lang w:val="da-DK"/>
        </w:rPr>
        <w:t>Vilkår</w:t>
      </w:r>
      <w:r>
        <w:t xml:space="preserve"> </w:t>
      </w:r>
      <w:r w:rsidRPr="00A6748A">
        <w:rPr>
          <w:lang w:val="da-DK"/>
        </w:rPr>
        <w:t>og</w:t>
      </w:r>
      <w:r>
        <w:t xml:space="preserve"> </w:t>
      </w:r>
      <w:r w:rsidRPr="00A6748A">
        <w:rPr>
          <w:lang w:val="da-DK"/>
        </w:rPr>
        <w:t>forudsætninger</w:t>
      </w:r>
      <w:bookmarkEnd w:id="20"/>
    </w:p>
    <w:p w:rsidR="00DB236D" w:rsidRDefault="00DB236D" w:rsidP="003C1547">
      <w:pPr>
        <w:pStyle w:val="Overskrift3"/>
      </w:pPr>
      <w:bookmarkStart w:id="21" w:name="_Toc401161352"/>
      <w:r>
        <w:t>Løsningens vilkår</w:t>
      </w:r>
      <w:bookmarkEnd w:id="21"/>
    </w:p>
    <w:p w:rsidR="00877131" w:rsidRDefault="00DB236D" w:rsidP="00DD0AB0">
      <w:r>
        <w:t xml:space="preserve">De tre store </w:t>
      </w:r>
      <w:r w:rsidR="00DD0AB0">
        <w:t>register</w:t>
      </w:r>
      <w:r>
        <w:t xml:space="preserve">projekter i </w:t>
      </w:r>
      <w:r w:rsidR="00877131">
        <w:t>ejendomsdataprogrammet</w:t>
      </w:r>
      <w:r>
        <w:t xml:space="preserve"> - ”</w:t>
      </w:r>
      <w:r w:rsidRPr="009A5AE5">
        <w:t>Matrik</w:t>
      </w:r>
      <w:r>
        <w:t>lens udvidelse”</w:t>
      </w:r>
      <w:r w:rsidRPr="009A5AE5">
        <w:t xml:space="preserve">, </w:t>
      </w:r>
      <w:r>
        <w:t xml:space="preserve">”. ”Ny Ejerfortegnelse” og ”Udvidelse af BBR” er sammen med projekter i Adresseprogrammet kernen i den </w:t>
      </w:r>
      <w:r w:rsidR="00427F17">
        <w:t xml:space="preserve">fremadrettede </w:t>
      </w:r>
      <w:r>
        <w:t>systemunderstøttelse af ejendomsdata og adressedata.</w:t>
      </w:r>
      <w:r w:rsidR="00877131">
        <w:t xml:space="preserve"> GD1 skal etablere et registersamarbejde mellem de tre registre som sikrer, at både offentlige og private anvendere af ejendomsdata fremover via Datafordeleren kan tilgå oplysninger fra de s</w:t>
      </w:r>
      <w:r w:rsidR="00DD0AB0">
        <w:t>amarbejdende grunddataregistre.</w:t>
      </w:r>
    </w:p>
    <w:p w:rsidR="00DD0AB0" w:rsidRDefault="00DD0AB0" w:rsidP="00877131">
      <w:pPr>
        <w:spacing w:after="120"/>
      </w:pPr>
      <w:r>
        <w:t>Grunddataregistrene er derfor underlagt et krav fra Grunddataprogrammet om, at registrets grunddata skal udstilles via den fællesoffentlige Datafordeler.</w:t>
      </w:r>
    </w:p>
    <w:p w:rsidR="00877131" w:rsidRDefault="00877131" w:rsidP="00877131">
      <w:r>
        <w:t>Overgangen til samarbejdende grunddataregistre betyder, at den forretningsmæssige styring, som i dag er indbygget i ESR, fremover skal håndteres via ajourføringsservices i</w:t>
      </w:r>
      <w:r w:rsidR="00DD0AB0">
        <w:t>mellem</w:t>
      </w:r>
      <w:r>
        <w:t xml:space="preserve"> grunddataregist</w:t>
      </w:r>
      <w:r w:rsidR="00427F17">
        <w:t xml:space="preserve">rene hhv. ved udstilling af </w:t>
      </w:r>
      <w:r>
        <w:t>services og hændelsesbeskeder på Datafordeleren.</w:t>
      </w:r>
    </w:p>
    <w:p w:rsidR="00877131" w:rsidRDefault="00A6748A" w:rsidP="00877131">
      <w:pPr>
        <w:pStyle w:val="Overskrift3"/>
      </w:pPr>
      <w:bookmarkStart w:id="22" w:name="_Toc401161353"/>
      <w:r>
        <w:t>Arkitekturmæssige vilkår</w:t>
      </w:r>
      <w:bookmarkEnd w:id="22"/>
    </w:p>
    <w:p w:rsidR="00877131" w:rsidRDefault="00800450" w:rsidP="007B0611">
      <w:r>
        <w:t xml:space="preserve">Der er defineret en række arkitekturmæssige og tekniske krav til løsningerne. De fleste af disse er dokumenteret i </w:t>
      </w:r>
      <w:r w:rsidR="00796593">
        <w:t>”Fælles arkitekturramme for GD1-GD2-GD7” og omfatter:</w:t>
      </w:r>
    </w:p>
    <w:p w:rsidR="00796593" w:rsidRDefault="007B0611" w:rsidP="00427F17">
      <w:pPr>
        <w:pStyle w:val="Listeafsnit"/>
        <w:numPr>
          <w:ilvl w:val="0"/>
          <w:numId w:val="22"/>
        </w:numPr>
        <w:spacing w:before="60"/>
        <w:ind w:left="714" w:hanging="357"/>
        <w:contextualSpacing w:val="0"/>
        <w:jc w:val="left"/>
      </w:pPr>
      <w:r>
        <w:t>Krav om anvendelse af en fælles sikkerhedsmodel baseret på en systembruger og</w:t>
      </w:r>
      <w:r w:rsidR="00427F17">
        <w:t xml:space="preserve"> en</w:t>
      </w:r>
      <w:r>
        <w:t xml:space="preserve"> token-baseret arkitektur og single-sign-on. Implementeringen af denne </w:t>
      </w:r>
      <w:r w:rsidR="00427F17">
        <w:t xml:space="preserve">er </w:t>
      </w:r>
      <w:r>
        <w:t>indarbejdet i implementeringsplanen</w:t>
      </w:r>
      <w:r w:rsidR="00427F17">
        <w:t xml:space="preserve"> – herunder i de enkelte projekters udbudsmateriale</w:t>
      </w:r>
      <w:r>
        <w:t>.</w:t>
      </w:r>
    </w:p>
    <w:p w:rsidR="007B0611" w:rsidRDefault="007B0611" w:rsidP="00427F17">
      <w:pPr>
        <w:pStyle w:val="Listeafsnit"/>
        <w:numPr>
          <w:ilvl w:val="0"/>
          <w:numId w:val="22"/>
        </w:numPr>
        <w:spacing w:before="60"/>
        <w:ind w:left="714" w:hanging="357"/>
        <w:contextualSpacing w:val="0"/>
        <w:jc w:val="left"/>
      </w:pPr>
      <w:r>
        <w:t>Proces for etablering af data og tjenester på Datafordeleren med krav til aktører og proces. Indarbejdet i registerprojekternes arbejdsp</w:t>
      </w:r>
      <w:r w:rsidR="00427F17">
        <w:t>akker ud fra 8 mulige generiske arbejdspakker til håndtering af denne proces</w:t>
      </w:r>
      <w:r>
        <w:t>.</w:t>
      </w:r>
    </w:p>
    <w:p w:rsidR="007B0611" w:rsidRDefault="007B0611" w:rsidP="00427F17">
      <w:pPr>
        <w:pStyle w:val="Listeafsnit"/>
        <w:numPr>
          <w:ilvl w:val="0"/>
          <w:numId w:val="22"/>
        </w:numPr>
        <w:spacing w:before="60"/>
        <w:ind w:left="714" w:hanging="357"/>
        <w:contextualSpacing w:val="0"/>
        <w:jc w:val="left"/>
      </w:pPr>
      <w:r>
        <w:t xml:space="preserve">Proces for håndtering af hændelsesbeskeder inkl. mulighed for generering af disse på Datafordeleren samt formater for kommunikation af </w:t>
      </w:r>
      <w:r w:rsidR="00FD50D1">
        <w:t>hændelsesbeskeder</w:t>
      </w:r>
      <w:r>
        <w:t xml:space="preserve">. </w:t>
      </w:r>
      <w:r w:rsidR="00427F17">
        <w:t>Generering af hændelsesbeskeder er i</w:t>
      </w:r>
      <w:r>
        <w:t>ndarbejdet i registerprojekternes arbejdsp</w:t>
      </w:r>
      <w:r w:rsidR="00427F17">
        <w:t>akker</w:t>
      </w:r>
      <w:r>
        <w:t>.</w:t>
      </w:r>
    </w:p>
    <w:p w:rsidR="007B0611" w:rsidRDefault="007B0611" w:rsidP="00427F17">
      <w:pPr>
        <w:pStyle w:val="Listeafsnit"/>
        <w:numPr>
          <w:ilvl w:val="0"/>
          <w:numId w:val="22"/>
        </w:numPr>
        <w:spacing w:before="60"/>
        <w:ind w:left="714" w:hanging="357"/>
        <w:contextualSpacing w:val="0"/>
        <w:jc w:val="left"/>
      </w:pPr>
      <w:r>
        <w:t>Strukturering, udstilling og anvendelse af metadata.</w:t>
      </w:r>
      <w:r w:rsidR="00DD0AB0">
        <w:br/>
        <w:t>Ifb. grunddataprogrammet leverer GD8 en service, som udstiller metadata registreret i registrets udstillingsmodel. Øvrige forretningsmæssige metadata håndteres på samme måde som registrets forretningsdata og er derfor en del af disse arbejdspakker</w:t>
      </w:r>
      <w:r w:rsidR="008411D2">
        <w:t xml:space="preserve"> i de tilfælde hvor der er behov herfor</w:t>
      </w:r>
      <w:r w:rsidR="00DD0AB0">
        <w:t>.</w:t>
      </w:r>
    </w:p>
    <w:p w:rsidR="00800450" w:rsidRDefault="00800450" w:rsidP="009B39AA"/>
    <w:p w:rsidR="009B39AA" w:rsidRDefault="009B39AA" w:rsidP="009B39AA">
      <w:r>
        <w:t>De udstillede data skal efterleve grunddataprogrammets modelleringsregler og være indpasset i den fællesoffentlige datamodel. Dette er indarbejdet i implementeringsplanen og sikres gennem følgende elementer:</w:t>
      </w:r>
    </w:p>
    <w:p w:rsidR="009B39AA" w:rsidRDefault="009B39AA" w:rsidP="009B39AA">
      <w:pPr>
        <w:pStyle w:val="Listeafsnit"/>
        <w:numPr>
          <w:ilvl w:val="0"/>
          <w:numId w:val="26"/>
        </w:numPr>
        <w:spacing w:before="60"/>
        <w:ind w:left="714" w:hanging="357"/>
      </w:pPr>
      <w:r>
        <w:t>Udarbejdelse af en begrebsmodel i GD1 målarkitekturen og en informationsmodel ift. hvert enkelt grunddataregister, som afstemmes med den fællesoffentlige datamodel og kvalitetssikres forretningsmæssigt internt i GD1.</w:t>
      </w:r>
    </w:p>
    <w:p w:rsidR="009B39AA" w:rsidRDefault="009B39AA" w:rsidP="009B39AA">
      <w:pPr>
        <w:pStyle w:val="Listeafsnit"/>
        <w:numPr>
          <w:ilvl w:val="0"/>
          <w:numId w:val="26"/>
        </w:numPr>
        <w:spacing w:before="60"/>
        <w:ind w:left="714" w:hanging="357"/>
      </w:pPr>
      <w:r>
        <w:t>Inddragelse af GD8 i udarbejdelse af de konkrete udstillingsmodeller både i udarbejdelsen og i en afsluttende kvalitetssikring.</w:t>
      </w:r>
    </w:p>
    <w:p w:rsidR="00E135FA" w:rsidRDefault="00E135FA" w:rsidP="00E135FA">
      <w:pPr>
        <w:pStyle w:val="Overskrift3"/>
      </w:pPr>
      <w:bookmarkStart w:id="23" w:name="_Toc401161354"/>
      <w:r>
        <w:t>Tidsmæssige vilkår</w:t>
      </w:r>
      <w:bookmarkEnd w:id="23"/>
    </w:p>
    <w:p w:rsidR="00E135FA" w:rsidRDefault="00E135FA" w:rsidP="00E135FA">
      <w:r>
        <w:t>Der er i ejendomsdataprogrammet defineret et vilkår ift. implementeringsplanens tidsmæssige sammensætning og idriftsættelsesmønster:</w:t>
      </w:r>
    </w:p>
    <w:p w:rsidR="00E135FA" w:rsidRDefault="00E135FA" w:rsidP="00E135FA">
      <w:pPr>
        <w:pStyle w:val="Listeafsnit"/>
        <w:numPr>
          <w:ilvl w:val="0"/>
          <w:numId w:val="22"/>
        </w:numPr>
        <w:spacing w:before="60"/>
        <w:contextualSpacing w:val="0"/>
      </w:pPr>
      <w:r>
        <w:t>Idriftsættelsen af de forskellige registerløsninger i GD1 skal implementeres i flere step. Den samlede løsning er både forretningsmæssigt og teknisk for stor og kompleks til at blive implementeret som et samlet ”Big Bang”.</w:t>
      </w:r>
    </w:p>
    <w:p w:rsidR="00E135FA" w:rsidRDefault="00E135FA" w:rsidP="00E135FA">
      <w:pPr>
        <w:pStyle w:val="Listeafsnit"/>
        <w:numPr>
          <w:ilvl w:val="0"/>
          <w:numId w:val="22"/>
        </w:numPr>
        <w:spacing w:before="60"/>
        <w:ind w:left="714" w:hanging="357"/>
        <w:contextualSpacing w:val="0"/>
        <w:jc w:val="left"/>
      </w:pPr>
      <w:r>
        <w:t xml:space="preserve">Implementeringsplanen skal indeholde en paralleldriftsperiode på minimum 1 år </w:t>
      </w:r>
      <w:r w:rsidR="008C3248">
        <w:t xml:space="preserve">med en paralleldrift </w:t>
      </w:r>
      <w:r>
        <w:t xml:space="preserve">mellem den nuværende </w:t>
      </w:r>
      <w:r w:rsidR="008C3248">
        <w:t>ESR-</w:t>
      </w:r>
      <w:r>
        <w:t>løsning og de nye grunddataregistre.</w:t>
      </w:r>
      <w:r>
        <w:br/>
      </w:r>
      <w:r w:rsidR="008C3248">
        <w:t>Dette dels for at sikre test af et årshjul i relation til de forskellige rutiner mv. omkring ejendomsbeskatningen, dels for at sikre at de mange anvendere af ejendomsdata får en rimelig kalenderperiode til omlægning af deres systemer til de nye grunddata.</w:t>
      </w:r>
    </w:p>
    <w:p w:rsidR="00800450" w:rsidRDefault="00800450" w:rsidP="00800450">
      <w:pPr>
        <w:pStyle w:val="Overskrift3"/>
      </w:pPr>
      <w:bookmarkStart w:id="24" w:name="_Toc401161355"/>
      <w:r>
        <w:t>Forudsætninger</w:t>
      </w:r>
      <w:bookmarkEnd w:id="24"/>
    </w:p>
    <w:p w:rsidR="0008089A" w:rsidRDefault="0008089A" w:rsidP="00800450">
      <w:r>
        <w:t>I implementeringsplanen er der antaget en række grundlæggende forudsætninger. Det drejer sig om følgende:</w:t>
      </w:r>
    </w:p>
    <w:p w:rsidR="008411D2" w:rsidRDefault="008411D2" w:rsidP="008411D2">
      <w:pPr>
        <w:pStyle w:val="Listeafsnit"/>
        <w:numPr>
          <w:ilvl w:val="0"/>
          <w:numId w:val="29"/>
        </w:numPr>
        <w:spacing w:before="60"/>
        <w:contextualSpacing w:val="0"/>
        <w:jc w:val="left"/>
      </w:pPr>
      <w:r>
        <w:t>Proces omkring forretningsmæssige aftaler påvirker ikke planen i negativ retning.</w:t>
      </w:r>
      <w:r>
        <w:br/>
        <w:t>Der skal indgås forskellige forretningsmæssige aftaler – fx i relation til udstilling af registerdata på Datafordeleren. Disse forventes etableret rettidigt, således en evt. manglende aftale ikke vil forsinke GD1 projekterne unødigt.</w:t>
      </w:r>
    </w:p>
    <w:p w:rsidR="008741F2" w:rsidRDefault="008741F2" w:rsidP="00140FFD">
      <w:pPr>
        <w:pStyle w:val="Listeafsnit"/>
        <w:numPr>
          <w:ilvl w:val="0"/>
          <w:numId w:val="29"/>
        </w:numPr>
        <w:spacing w:before="60"/>
        <w:contextualSpacing w:val="0"/>
        <w:jc w:val="left"/>
      </w:pPr>
      <w:r>
        <w:t>Forretningsmæssige behov i GD1 understøttes af Datafordeleren</w:t>
      </w:r>
      <w:r w:rsidR="00A6331A">
        <w:t xml:space="preserve"> rettidigt</w:t>
      </w:r>
      <w:r>
        <w:t>.</w:t>
      </w:r>
      <w:r>
        <w:br/>
        <w:t>D</w:t>
      </w:r>
      <w:r w:rsidRPr="009A5AE5">
        <w:t xml:space="preserve">er </w:t>
      </w:r>
      <w:r>
        <w:t xml:space="preserve">er </w:t>
      </w:r>
      <w:r w:rsidRPr="009A5AE5">
        <w:t>store afhængigheder mellem d</w:t>
      </w:r>
      <w:r>
        <w:t xml:space="preserve">e enkelte registersystemer, </w:t>
      </w:r>
      <w:r w:rsidRPr="009A5AE5">
        <w:t xml:space="preserve">både ift. </w:t>
      </w:r>
      <w:proofErr w:type="gramStart"/>
      <w:r w:rsidRPr="009A5AE5">
        <w:t>behov for services og behov for kommunikation af hændelser</w:t>
      </w:r>
      <w:r w:rsidR="008411D2">
        <w:t xml:space="preserve"> mellem registrene</w:t>
      </w:r>
      <w:r w:rsidRPr="009A5AE5">
        <w:t>.</w:t>
      </w:r>
      <w:proofErr w:type="gramEnd"/>
      <w:r w:rsidR="008411D2">
        <w:br/>
      </w:r>
      <w:r>
        <w:t xml:space="preserve">Ift. implementeringsplan, den fastlagte arkitektur og ikke mindst delprogrammets business case er det helt afgørende, at Datafordeleren </w:t>
      </w:r>
      <w:r w:rsidR="00140FFD">
        <w:t>understøtter disse forretningsmæssige behov rettidigt.</w:t>
      </w:r>
    </w:p>
    <w:p w:rsidR="00140FFD" w:rsidRDefault="00140FFD" w:rsidP="00140FFD">
      <w:pPr>
        <w:pStyle w:val="Listeafsnit"/>
        <w:numPr>
          <w:ilvl w:val="0"/>
          <w:numId w:val="29"/>
        </w:numPr>
        <w:spacing w:before="60"/>
        <w:contextualSpacing w:val="0"/>
        <w:jc w:val="left"/>
      </w:pPr>
      <w:r>
        <w:t xml:space="preserve">Skabeloner mv. ift. </w:t>
      </w:r>
      <w:proofErr w:type="gramStart"/>
      <w:r>
        <w:t>Datafordeler foreligger</w:t>
      </w:r>
      <w:proofErr w:type="gramEnd"/>
      <w:r>
        <w:t xml:space="preserve"> rettidigt.</w:t>
      </w:r>
      <w:r>
        <w:br/>
        <w:t>Ved etablering af data og tjenester på Datafordeleren skal de forskellige modeller, transformationsregler, tjenester mv. specificeres til brug for DAF-leverandøren.</w:t>
      </w:r>
      <w:r w:rsidR="008411D2">
        <w:br/>
        <w:t>Det forudsættes, at GD1 projekterne ikke forsinkes som følge af, at skabeloner og specifikationskrav mangler konkretisering.</w:t>
      </w:r>
    </w:p>
    <w:p w:rsidR="00140FFD" w:rsidRDefault="00087106" w:rsidP="00140FFD">
      <w:pPr>
        <w:pStyle w:val="Listeafsnit"/>
        <w:numPr>
          <w:ilvl w:val="0"/>
          <w:numId w:val="29"/>
        </w:numPr>
        <w:spacing w:before="60"/>
        <w:contextualSpacing w:val="0"/>
        <w:jc w:val="left"/>
      </w:pPr>
      <w:r>
        <w:t>Grundlaget for krævede metadata i modelleringsregler mv. etableres rettidigt.</w:t>
      </w:r>
      <w:r>
        <w:br/>
        <w:t>Dette omfatter både fastlæggelse af klassifikationer (fx FORM koder) og etablering af de dertil hørende registre – herunder et myndighedsregister.</w:t>
      </w:r>
      <w:r>
        <w:br/>
        <w:t>Det forudsættes, at GD1 projekterne ikke forsinkes som følge af, at grundlæggende model- og specifikationskrav ikke kan udfyldes i praksis.</w:t>
      </w:r>
    </w:p>
    <w:p w:rsidR="002166CB" w:rsidRDefault="002166CB" w:rsidP="00140FFD">
      <w:pPr>
        <w:pStyle w:val="Listeafsnit"/>
        <w:numPr>
          <w:ilvl w:val="0"/>
          <w:numId w:val="29"/>
        </w:numPr>
        <w:spacing w:before="60"/>
        <w:contextualSpacing w:val="0"/>
        <w:jc w:val="left"/>
      </w:pPr>
      <w:r>
        <w:lastRenderedPageBreak/>
        <w:t>Implementering af en fælles sikkerhedsmodel baseret på NemID mv. gennemføres rettidigt i forhold til at denne skal kunne indgå i registerprojekternes test af egne og fælles løsningskomponenter.</w:t>
      </w:r>
    </w:p>
    <w:p w:rsidR="00F616BC" w:rsidRDefault="008411D2" w:rsidP="00800450">
      <w:pPr>
        <w:pStyle w:val="Listeafsnit"/>
        <w:numPr>
          <w:ilvl w:val="0"/>
          <w:numId w:val="29"/>
        </w:numPr>
        <w:spacing w:before="60"/>
        <w:contextualSpacing w:val="0"/>
        <w:jc w:val="left"/>
      </w:pPr>
      <w:r>
        <w:t xml:space="preserve">Tilbagekonverteringer til ESR </w:t>
      </w:r>
      <w:r w:rsidR="002166CB">
        <w:t>udføres</w:t>
      </w:r>
      <w:r>
        <w:t xml:space="preserve"> som udgangspunkt manuelt </w:t>
      </w:r>
      <w:r w:rsidR="002166CB">
        <w:t>ved</w:t>
      </w:r>
      <w:r>
        <w:t xml:space="preserve"> </w:t>
      </w:r>
      <w:r w:rsidR="002166CB">
        <w:t>gen</w:t>
      </w:r>
      <w:r>
        <w:t>indtastning.</w:t>
      </w:r>
      <w:r w:rsidR="008C3248" w:rsidRPr="008C3248">
        <w:t xml:space="preserve"> </w:t>
      </w:r>
      <w:r w:rsidR="008C3248">
        <w:t>Med en ”</w:t>
      </w:r>
      <w:proofErr w:type="spellStart"/>
      <w:r w:rsidR="008C3248" w:rsidRPr="001317E1">
        <w:t>frozen</w:t>
      </w:r>
      <w:proofErr w:type="spellEnd"/>
      <w:r w:rsidR="008C3248">
        <w:t xml:space="preserve"> zone” fra august til og med februar </w:t>
      </w:r>
      <w:r w:rsidR="002166CB">
        <w:t>ift.</w:t>
      </w:r>
      <w:r w:rsidR="008C3248">
        <w:t xml:space="preserve"> idriftsættelse af ændringer i ESR, som kan påvirke ejendomsbeskatningen, vil</w:t>
      </w:r>
      <w:r w:rsidR="002166CB">
        <w:t xml:space="preserve"> en maskinel tilbagekonvertering til </w:t>
      </w:r>
      <w:proofErr w:type="gramStart"/>
      <w:r w:rsidR="002166CB">
        <w:t xml:space="preserve">ESR </w:t>
      </w:r>
      <w:r w:rsidR="008C3248">
        <w:t xml:space="preserve"> i</w:t>
      </w:r>
      <w:proofErr w:type="gramEnd"/>
      <w:r w:rsidR="008C3248">
        <w:t xml:space="preserve"> praksis</w:t>
      </w:r>
      <w:r w:rsidR="002166CB">
        <w:t xml:space="preserve"> være umulig eller stærkt begrænset.</w:t>
      </w:r>
    </w:p>
    <w:p w:rsidR="00800450" w:rsidRDefault="00800450" w:rsidP="00800450">
      <w:pPr>
        <w:pStyle w:val="Overskrift2"/>
      </w:pPr>
      <w:bookmarkStart w:id="25" w:name="_Toc401161356"/>
      <w:r w:rsidRPr="00FD50D1">
        <w:rPr>
          <w:lang w:val="da-DK"/>
        </w:rPr>
        <w:t>Krav</w:t>
      </w:r>
      <w:r>
        <w:t xml:space="preserve"> </w:t>
      </w:r>
      <w:r w:rsidRPr="00FD50D1">
        <w:rPr>
          <w:lang w:val="da-DK"/>
        </w:rPr>
        <w:t>til</w:t>
      </w:r>
      <w:r>
        <w:t xml:space="preserve"> </w:t>
      </w:r>
      <w:r w:rsidRPr="00FD50D1">
        <w:rPr>
          <w:lang w:val="da-DK"/>
        </w:rPr>
        <w:t>implementeringsplanen</w:t>
      </w:r>
      <w:bookmarkEnd w:id="25"/>
    </w:p>
    <w:p w:rsidR="004165E3" w:rsidRDefault="00800450" w:rsidP="005C2919">
      <w:pPr>
        <w:pStyle w:val="Overskrift3"/>
      </w:pPr>
      <w:bookmarkStart w:id="26" w:name="_Toc401161357"/>
      <w:r>
        <w:t>Ejendomsdatap</w:t>
      </w:r>
      <w:r w:rsidR="004165E3">
        <w:t>rogrammets krav</w:t>
      </w:r>
      <w:bookmarkEnd w:id="26"/>
    </w:p>
    <w:p w:rsidR="004165E3" w:rsidRDefault="004165E3" w:rsidP="004165E3">
      <w:pPr>
        <w:keepNext/>
      </w:pPr>
      <w:r>
        <w:t>I programstyringsdokumentet er der opstillet følgende krav til implementeringsplanen:</w:t>
      </w:r>
    </w:p>
    <w:p w:rsidR="004165E3" w:rsidRPr="002166CB" w:rsidRDefault="009B39AA" w:rsidP="004165E3">
      <w:pPr>
        <w:keepNext/>
        <w:spacing w:before="120"/>
        <w:rPr>
          <w:i/>
        </w:rPr>
      </w:pPr>
      <w:r>
        <w:t>”</w:t>
      </w:r>
      <w:r w:rsidR="004165E3" w:rsidRPr="002166CB">
        <w:rPr>
          <w:i/>
        </w:rPr>
        <w:t>Programmet skal - med udgangspunkt i den fælles implementeringsplan – kunne danne et præcist overblik over:</w:t>
      </w:r>
    </w:p>
    <w:p w:rsidR="004165E3" w:rsidRPr="002166CB" w:rsidRDefault="004165E3" w:rsidP="002166CB">
      <w:pPr>
        <w:pStyle w:val="Listeafsnit"/>
        <w:keepNext/>
        <w:numPr>
          <w:ilvl w:val="0"/>
          <w:numId w:val="9"/>
        </w:numPr>
        <w:ind w:left="714" w:hanging="357"/>
        <w:contextualSpacing w:val="0"/>
        <w:jc w:val="left"/>
        <w:rPr>
          <w:i/>
          <w:u w:val="single"/>
        </w:rPr>
      </w:pPr>
      <w:r w:rsidRPr="002166CB">
        <w:rPr>
          <w:i/>
        </w:rPr>
        <w:t>De produkter programmet som helhed skal levere.</w:t>
      </w:r>
    </w:p>
    <w:p w:rsidR="004165E3" w:rsidRPr="002166CB" w:rsidRDefault="004165E3" w:rsidP="002166CB">
      <w:pPr>
        <w:pStyle w:val="Listeafsnit"/>
        <w:numPr>
          <w:ilvl w:val="0"/>
          <w:numId w:val="9"/>
        </w:numPr>
        <w:ind w:left="714" w:hanging="357"/>
        <w:contextualSpacing w:val="0"/>
        <w:jc w:val="left"/>
        <w:rPr>
          <w:i/>
          <w:u w:val="single"/>
        </w:rPr>
      </w:pPr>
      <w:r w:rsidRPr="002166CB">
        <w:rPr>
          <w:i/>
        </w:rPr>
        <w:t>Sammenhængen mellem disse leverancer i form af forudsætninger og andre former for afhængighed mellem de forskellige leverancer.</w:t>
      </w:r>
    </w:p>
    <w:p w:rsidR="004165E3" w:rsidRPr="002166CB" w:rsidRDefault="004165E3" w:rsidP="002166CB">
      <w:pPr>
        <w:pStyle w:val="Listeafsnit"/>
        <w:numPr>
          <w:ilvl w:val="0"/>
          <w:numId w:val="9"/>
        </w:numPr>
        <w:ind w:left="714" w:hanging="357"/>
        <w:contextualSpacing w:val="0"/>
        <w:jc w:val="left"/>
        <w:rPr>
          <w:i/>
          <w:u w:val="single"/>
        </w:rPr>
      </w:pPr>
      <w:r w:rsidRPr="002166CB">
        <w:rPr>
          <w:i/>
        </w:rPr>
        <w:t xml:space="preserve">Hvilke projekter og hvilke </w:t>
      </w:r>
      <w:proofErr w:type="gramStart"/>
      <w:r w:rsidRPr="002166CB">
        <w:rPr>
          <w:i/>
        </w:rPr>
        <w:t>aktiviteter  der</w:t>
      </w:r>
      <w:proofErr w:type="gramEnd"/>
      <w:r w:rsidRPr="002166CB">
        <w:rPr>
          <w:i/>
        </w:rPr>
        <w:t xml:space="preserve"> skal leverede de enkelte produkter.</w:t>
      </w:r>
    </w:p>
    <w:p w:rsidR="004165E3" w:rsidRPr="009B39AA" w:rsidRDefault="004165E3" w:rsidP="002166CB">
      <w:pPr>
        <w:pStyle w:val="Listeafsnit"/>
        <w:numPr>
          <w:ilvl w:val="0"/>
          <w:numId w:val="9"/>
        </w:numPr>
        <w:contextualSpacing w:val="0"/>
        <w:jc w:val="left"/>
        <w:rPr>
          <w:u w:val="single"/>
        </w:rPr>
      </w:pPr>
      <w:r w:rsidRPr="002166CB">
        <w:rPr>
          <w:i/>
        </w:rPr>
        <w:t>Den tidsmæssige indplacering af de enkelte aktiviteter – herunder tidsfrist for hvornår de en</w:t>
      </w:r>
      <w:r w:rsidR="009B39AA" w:rsidRPr="002166CB">
        <w:rPr>
          <w:i/>
        </w:rPr>
        <w:t>kelte leverancer skal foreligge</w:t>
      </w:r>
      <w:r w:rsidR="009B39AA">
        <w:t>.”</w:t>
      </w:r>
    </w:p>
    <w:p w:rsidR="009B39AA" w:rsidRDefault="00854369" w:rsidP="00854369">
      <w:pPr>
        <w:spacing w:before="120"/>
        <w:jc w:val="left"/>
      </w:pPr>
      <w:r w:rsidRPr="00854369">
        <w:t xml:space="preserve">Implementeringsplanen </w:t>
      </w:r>
      <w:r>
        <w:t>efterlever disse krav dels gennem dokumentationen i dette dokument, dels gennem beskrivelsen i de enkelte arbejdspakker.</w:t>
      </w:r>
    </w:p>
    <w:p w:rsidR="009B39AA" w:rsidRPr="00854369" w:rsidRDefault="00854369" w:rsidP="00854369">
      <w:pPr>
        <w:jc w:val="left"/>
      </w:pPr>
      <w:r>
        <w:t>De kalendermæssige indplaceringer og afhængigheder er dokumenteret i den til GD1 hørende MS Project plan.</w:t>
      </w:r>
    </w:p>
    <w:p w:rsidR="004165E3" w:rsidRDefault="004165E3" w:rsidP="005C2919">
      <w:pPr>
        <w:pStyle w:val="Overskrift3"/>
      </w:pPr>
      <w:bookmarkStart w:id="27" w:name="_Toc352329098"/>
      <w:bookmarkStart w:id="28" w:name="_Toc401161358"/>
      <w:r w:rsidRPr="00120A8D">
        <w:t>Hovedprincipper</w:t>
      </w:r>
      <w:r>
        <w:t xml:space="preserve"> </w:t>
      </w:r>
      <w:r w:rsidRPr="007A216A">
        <w:t>i</w:t>
      </w:r>
      <w:r>
        <w:t xml:space="preserve"> </w:t>
      </w:r>
      <w:r w:rsidRPr="00120A8D">
        <w:t>implementeringen</w:t>
      </w:r>
      <w:bookmarkEnd w:id="27"/>
      <w:bookmarkEnd w:id="28"/>
    </w:p>
    <w:p w:rsidR="004165E3" w:rsidRDefault="004165E3" w:rsidP="004165E3">
      <w:pPr>
        <w:keepNext/>
      </w:pPr>
      <w:r>
        <w:t>Implementeringen frem mod ejendomsdataprogrammets målarkitekturen gennemføres ud fra følgende principper:</w:t>
      </w:r>
    </w:p>
    <w:p w:rsidR="004165E3" w:rsidRDefault="004165E3" w:rsidP="004165E3">
      <w:pPr>
        <w:pStyle w:val="Listeafsnit"/>
        <w:numPr>
          <w:ilvl w:val="0"/>
          <w:numId w:val="10"/>
        </w:numPr>
        <w:spacing w:before="60"/>
        <w:ind w:left="771" w:hanging="357"/>
        <w:contextualSpacing w:val="0"/>
      </w:pPr>
      <w:r>
        <w:t>Ændringerne gennemføres i et antal step (kaldet interimløsninger). Det vil ikke være muligt at gennemføre alle ændringer som ét samlet ”Big Bang”.</w:t>
      </w:r>
    </w:p>
    <w:p w:rsidR="004165E3" w:rsidRDefault="004165E3" w:rsidP="004165E3">
      <w:pPr>
        <w:pStyle w:val="Listeafsnit"/>
        <w:numPr>
          <w:ilvl w:val="0"/>
          <w:numId w:val="10"/>
        </w:numPr>
        <w:spacing w:before="60"/>
        <w:ind w:left="771" w:hanging="357"/>
        <w:contextualSpacing w:val="0"/>
      </w:pPr>
      <w:r>
        <w:t>Sikker drift prioriteres højt – ikke kun omkring det enkelte register med også i forhold til de tværgående sammenhænge.</w:t>
      </w:r>
    </w:p>
    <w:p w:rsidR="004165E3" w:rsidRDefault="004165E3" w:rsidP="004165E3">
      <w:pPr>
        <w:pStyle w:val="Listeafsnit"/>
        <w:numPr>
          <w:ilvl w:val="0"/>
          <w:numId w:val="10"/>
        </w:numPr>
        <w:spacing w:before="60"/>
        <w:ind w:left="771" w:hanging="357"/>
        <w:contextualSpacing w:val="0"/>
      </w:pPr>
      <w:r>
        <w:t>Brugerne af de involverede systemer – ikke mindst kommuner og SKAT – skal skifte arbejdsgang og/eller systemunderstøttelse så få gange som muligt – ideelt set kun én gang.</w:t>
      </w:r>
    </w:p>
    <w:p w:rsidR="004165E3" w:rsidRDefault="004165E3" w:rsidP="004165E3">
      <w:pPr>
        <w:pStyle w:val="Listeafsnit"/>
        <w:numPr>
          <w:ilvl w:val="0"/>
          <w:numId w:val="10"/>
        </w:numPr>
        <w:spacing w:before="60"/>
        <w:ind w:left="771" w:hanging="357"/>
        <w:contextualSpacing w:val="0"/>
      </w:pPr>
      <w:r>
        <w:t>Systemer, der anvender ejendomsdata, skal tilrettes så få gange som muligt – ideelt set kun én gang.</w:t>
      </w:r>
    </w:p>
    <w:p w:rsidR="004165E3" w:rsidRDefault="004165E3" w:rsidP="004165E3">
      <w:pPr>
        <w:pStyle w:val="Listeafsnit"/>
        <w:numPr>
          <w:ilvl w:val="0"/>
          <w:numId w:val="10"/>
        </w:numPr>
        <w:spacing w:before="60"/>
        <w:ind w:left="771" w:hanging="357"/>
        <w:contextualSpacing w:val="0"/>
      </w:pPr>
      <w:r>
        <w:t>ESR bevares ved at data fortsat kopieres hertil</w:t>
      </w:r>
      <w:r w:rsidR="00F82316">
        <w:t xml:space="preserve"> (manuelt og/eller maskinelt)</w:t>
      </w:r>
      <w:r>
        <w:t xml:space="preserve">. ESR nedlægges først som fællesoffentligt ejendoms stamregister efter en periode, hvor det er tilgængeligt, samtidig med at alle grunddata vedrørende ejendomme er på plads og kan hentes i datafordeleren. </w:t>
      </w:r>
    </w:p>
    <w:p w:rsidR="004165E3" w:rsidRDefault="004165E3" w:rsidP="004165E3">
      <w:pPr>
        <w:pStyle w:val="Listeafsnit"/>
        <w:numPr>
          <w:ilvl w:val="0"/>
          <w:numId w:val="10"/>
        </w:numPr>
        <w:spacing w:before="60"/>
        <w:ind w:left="771" w:hanging="357"/>
        <w:contextualSpacing w:val="0"/>
      </w:pPr>
      <w:r>
        <w:t>Datakvalitet i form af konsistens og sammenhæng mellem de forskellige ejendomsdataelementer skal være kendt og dokumenteret ved idriftsættelse. Dvs. ingen overraskelser med inkonsistente data i forhold til idriftsættelsen.</w:t>
      </w:r>
    </w:p>
    <w:p w:rsidR="003C1547" w:rsidRDefault="004165E3" w:rsidP="003C1547">
      <w:pPr>
        <w:pStyle w:val="Listeafsnit"/>
        <w:numPr>
          <w:ilvl w:val="0"/>
          <w:numId w:val="10"/>
        </w:numPr>
        <w:spacing w:before="60"/>
        <w:ind w:left="771" w:hanging="357"/>
        <w:contextualSpacing w:val="0"/>
      </w:pPr>
      <w:r>
        <w:lastRenderedPageBreak/>
        <w:t>Datakvaliteten</w:t>
      </w:r>
      <w:r w:rsidRPr="00F36ED1">
        <w:t xml:space="preserve"> </w:t>
      </w:r>
      <w:r>
        <w:t>i form af konsistens og sammenhæng forbedres løbende frem mod idriftsættelse – både gennem dataforbedring i det enkelte register og gennem datavask på tværs af de forskellige registre.</w:t>
      </w:r>
    </w:p>
    <w:p w:rsidR="004165E3" w:rsidRPr="000D27E0" w:rsidRDefault="004165E3" w:rsidP="004165E3">
      <w:pPr>
        <w:pStyle w:val="Overskrift2"/>
        <w:rPr>
          <w:lang w:val="da-DK"/>
        </w:rPr>
      </w:pPr>
      <w:bookmarkStart w:id="29" w:name="_Toc401161359"/>
      <w:r w:rsidRPr="000D27E0">
        <w:rPr>
          <w:lang w:val="da-DK"/>
        </w:rPr>
        <w:t>Læsevejledning</w:t>
      </w:r>
      <w:bookmarkEnd w:id="29"/>
      <w:r w:rsidRPr="000D27E0">
        <w:rPr>
          <w:lang w:val="da-DK"/>
        </w:rPr>
        <w:t xml:space="preserve"> </w:t>
      </w:r>
    </w:p>
    <w:p w:rsidR="004165E3" w:rsidRDefault="004165E3" w:rsidP="00087106">
      <w:pPr>
        <w:keepNext/>
      </w:pPr>
      <w:r>
        <w:t>Udover dette indledende kapitel indeholder dokumentet følgende kapitl</w:t>
      </w:r>
      <w:r w:rsidR="00087106">
        <w:t>er:</w:t>
      </w:r>
    </w:p>
    <w:p w:rsidR="004165E3" w:rsidRDefault="000E7E46" w:rsidP="00087106">
      <w:pPr>
        <w:pStyle w:val="Listeafsnit"/>
        <w:keepLines/>
        <w:numPr>
          <w:ilvl w:val="0"/>
          <w:numId w:val="8"/>
        </w:numPr>
        <w:spacing w:before="120"/>
        <w:ind w:left="714" w:hanging="357"/>
        <w:contextualSpacing w:val="0"/>
        <w:jc w:val="left"/>
      </w:pPr>
      <w:r>
        <w:rPr>
          <w:b/>
        </w:rPr>
        <w:t>Kapitel 2</w:t>
      </w:r>
      <w:r w:rsidR="004165E3" w:rsidRPr="00AD156D">
        <w:rPr>
          <w:b/>
        </w:rPr>
        <w:t xml:space="preserve"> – </w:t>
      </w:r>
      <w:r>
        <w:rPr>
          <w:b/>
        </w:rPr>
        <w:t>Interim frem mod m</w:t>
      </w:r>
      <w:r w:rsidR="004165E3">
        <w:rPr>
          <w:b/>
        </w:rPr>
        <w:t>ålarkitektur</w:t>
      </w:r>
      <w:r>
        <w:rPr>
          <w:b/>
        </w:rPr>
        <w:t>en</w:t>
      </w:r>
      <w:r w:rsidR="004165E3">
        <w:rPr>
          <w:b/>
        </w:rPr>
        <w:t>.</w:t>
      </w:r>
      <w:r w:rsidR="004165E3" w:rsidRPr="00AD156D">
        <w:rPr>
          <w:b/>
        </w:rPr>
        <w:br/>
      </w:r>
      <w:r w:rsidR="004165E3">
        <w:t xml:space="preserve">Indeholder en </w:t>
      </w:r>
      <w:r>
        <w:t>beskrivelse af de forskellige interim løsninger, som er et resultat af implementeringsplanen og den deri valgte implementeringsrækkefølge.</w:t>
      </w:r>
      <w:r w:rsidR="004165E3">
        <w:t xml:space="preserve"> </w:t>
      </w:r>
    </w:p>
    <w:p w:rsidR="004165E3" w:rsidRDefault="000E7E46" w:rsidP="00087106">
      <w:pPr>
        <w:pStyle w:val="Listeafsnit"/>
        <w:keepLines/>
        <w:numPr>
          <w:ilvl w:val="0"/>
          <w:numId w:val="8"/>
        </w:numPr>
        <w:spacing w:before="120"/>
        <w:ind w:left="714" w:hanging="357"/>
        <w:contextualSpacing w:val="0"/>
        <w:jc w:val="left"/>
      </w:pPr>
      <w:r>
        <w:rPr>
          <w:b/>
        </w:rPr>
        <w:t>Kapitel 3</w:t>
      </w:r>
      <w:r w:rsidR="004165E3" w:rsidRPr="00AD156D">
        <w:rPr>
          <w:b/>
        </w:rPr>
        <w:t xml:space="preserve"> – </w:t>
      </w:r>
      <w:r w:rsidR="004165E3">
        <w:rPr>
          <w:b/>
        </w:rPr>
        <w:t>Fælles implementeringsplan.</w:t>
      </w:r>
      <w:r w:rsidR="004165E3" w:rsidRPr="00AD156D">
        <w:rPr>
          <w:b/>
        </w:rPr>
        <w:br/>
      </w:r>
      <w:r w:rsidR="004165E3">
        <w:t xml:space="preserve">Indeholder en overordnet beskrivelse af implementeringsplanens indhold – herunder en beskrivelse af de enkelte faser og milepæle i den fælles implementeringsplan. </w:t>
      </w:r>
    </w:p>
    <w:p w:rsidR="004165E3" w:rsidRDefault="000E7E46" w:rsidP="00087106">
      <w:pPr>
        <w:pStyle w:val="Listeafsnit"/>
        <w:keepNext/>
        <w:numPr>
          <w:ilvl w:val="0"/>
          <w:numId w:val="8"/>
        </w:numPr>
        <w:spacing w:before="120"/>
        <w:ind w:left="714" w:hanging="357"/>
        <w:contextualSpacing w:val="0"/>
        <w:jc w:val="left"/>
      </w:pPr>
      <w:r>
        <w:rPr>
          <w:b/>
        </w:rPr>
        <w:t>Kapitel 4</w:t>
      </w:r>
      <w:r w:rsidR="004165E3" w:rsidRPr="00AD156D">
        <w:rPr>
          <w:b/>
        </w:rPr>
        <w:t xml:space="preserve"> – </w:t>
      </w:r>
      <w:r w:rsidR="004165E3">
        <w:rPr>
          <w:b/>
        </w:rPr>
        <w:t>Implementeringsplanens projekter.</w:t>
      </w:r>
      <w:r w:rsidR="004165E3" w:rsidRPr="00AD156D">
        <w:rPr>
          <w:b/>
        </w:rPr>
        <w:br/>
      </w:r>
      <w:proofErr w:type="gramStart"/>
      <w:r w:rsidR="004165E3">
        <w:t>Indeholder  en</w:t>
      </w:r>
      <w:proofErr w:type="gramEnd"/>
      <w:r w:rsidR="004165E3">
        <w:t xml:space="preserve"> mere detaljeret beskrivelse af implementeringen hos de enkelte partnere.</w:t>
      </w:r>
      <w:r>
        <w:t xml:space="preserve"> Hvilke arbejdspakker gennemføres og hvorledes er disse sammensat og placeret kalendermæssigt.</w:t>
      </w:r>
    </w:p>
    <w:p w:rsidR="00DB42CA" w:rsidRDefault="00DB42CA" w:rsidP="00087106">
      <w:pPr>
        <w:pStyle w:val="Listeafsnit"/>
        <w:keepNext/>
        <w:numPr>
          <w:ilvl w:val="0"/>
          <w:numId w:val="8"/>
        </w:numPr>
        <w:spacing w:before="120"/>
        <w:ind w:left="714" w:hanging="357"/>
        <w:contextualSpacing w:val="0"/>
        <w:jc w:val="left"/>
      </w:pPr>
      <w:r w:rsidRPr="00EB29E0">
        <w:rPr>
          <w:b/>
        </w:rPr>
        <w:t xml:space="preserve">Bilag A </w:t>
      </w:r>
      <w:r w:rsidR="00EB29E0" w:rsidRPr="00EB29E0">
        <w:rPr>
          <w:b/>
        </w:rPr>
        <w:t>–</w:t>
      </w:r>
      <w:r w:rsidRPr="00EB29E0">
        <w:rPr>
          <w:b/>
        </w:rPr>
        <w:t xml:space="preserve"> </w:t>
      </w:r>
      <w:r w:rsidR="00EB29E0" w:rsidRPr="00EB29E0">
        <w:rPr>
          <w:b/>
        </w:rPr>
        <w:t>Terminologiliste.</w:t>
      </w:r>
      <w:r w:rsidR="00EB29E0" w:rsidRPr="00EB29E0">
        <w:rPr>
          <w:b/>
        </w:rPr>
        <w:br/>
      </w:r>
      <w:r w:rsidR="00EB29E0">
        <w:t>Indeholder en oversigt over relevante</w:t>
      </w:r>
      <w:r w:rsidR="00EB29E0" w:rsidRPr="00EB29E0">
        <w:rPr>
          <w:lang w:eastAsia="ja-JP"/>
        </w:rPr>
        <w:t xml:space="preserve"> </w:t>
      </w:r>
      <w:r w:rsidR="00EB29E0">
        <w:rPr>
          <w:lang w:eastAsia="ja-JP"/>
        </w:rPr>
        <w:t>termer anvendt i implementeringsplanen og/eller i beskrivelsen af de enkelte arbejdspakker</w:t>
      </w:r>
    </w:p>
    <w:p w:rsidR="004165E3" w:rsidRDefault="004165E3" w:rsidP="004165E3"/>
    <w:p w:rsidR="004165E3" w:rsidRDefault="004165E3" w:rsidP="004165E3">
      <w:pPr>
        <w:jc w:val="left"/>
      </w:pPr>
      <w:r>
        <w:t xml:space="preserve">I tilknytning til implementeringsplanen er der </w:t>
      </w:r>
      <w:r w:rsidR="000E7E46">
        <w:t xml:space="preserve">nedenstående bilag, som for hvert projekt beskriver de tilhørende arbejdspakker og produkter </w:t>
      </w:r>
      <w:r w:rsidR="00365379">
        <w:t>hos</w:t>
      </w:r>
      <w:r w:rsidR="000E7E46">
        <w:t xml:space="preserve"> ressortmyndigheden mere detaljeret.</w:t>
      </w:r>
    </w:p>
    <w:p w:rsidR="000E7E46" w:rsidRDefault="000E7E46" w:rsidP="004165E3">
      <w:pPr>
        <w:jc w:val="left"/>
      </w:pPr>
      <w:r>
        <w:t>Det drejer sig om følgende dokumenter:</w:t>
      </w:r>
    </w:p>
    <w:p w:rsidR="004165E3" w:rsidRDefault="00365379" w:rsidP="004165E3">
      <w:pPr>
        <w:pStyle w:val="Listeafsnit"/>
        <w:numPr>
          <w:ilvl w:val="0"/>
          <w:numId w:val="17"/>
        </w:numPr>
        <w:spacing w:before="120"/>
        <w:ind w:left="714" w:hanging="357"/>
        <w:contextualSpacing w:val="0"/>
        <w:jc w:val="left"/>
      </w:pPr>
      <w:r>
        <w:rPr>
          <w:b/>
        </w:rPr>
        <w:t>Arbejdspakker fælles for GD1 og GD2</w:t>
      </w:r>
      <w:r w:rsidR="004165E3" w:rsidRPr="00E63A9B">
        <w:rPr>
          <w:b/>
        </w:rPr>
        <w:br/>
      </w:r>
      <w:r w:rsidRPr="003516A9">
        <w:rPr>
          <w:highlight w:val="yellow"/>
        </w:rPr>
        <w:t>NB! Muligvis er der flere dokumenter her (fx et omkring ”Lovgivning”)</w:t>
      </w:r>
      <w:r w:rsidR="003516A9" w:rsidRPr="003516A9">
        <w:rPr>
          <w:highlight w:val="yellow"/>
        </w:rPr>
        <w:t>.</w:t>
      </w:r>
      <w:r w:rsidR="003516A9" w:rsidRPr="003516A9">
        <w:rPr>
          <w:highlight w:val="yellow"/>
        </w:rPr>
        <w:br/>
        <w:t>Skal afklares med sekretariatet inden endelig version.</w:t>
      </w:r>
      <w:r>
        <w:br/>
      </w:r>
      <w:r w:rsidR="004165E3">
        <w:t>Indeholder</w:t>
      </w:r>
      <w:r w:rsidR="004165E3" w:rsidRPr="006821D0">
        <w:t xml:space="preserve"> </w:t>
      </w:r>
      <w:r w:rsidR="004165E3">
        <w:t>en beskrivelse af arbejdspakker</w:t>
      </w:r>
      <w:r>
        <w:t xml:space="preserve"> </w:t>
      </w:r>
      <w:r w:rsidR="00F82316">
        <w:t>som er fælles for både GD1 og GD2, og derfor medtaget i begge implementeringsplaner.</w:t>
      </w:r>
      <w:r>
        <w:br/>
        <w:t>Dokumentet vedligeholdes af GD1 og GD2 programsekretariatet.</w:t>
      </w:r>
    </w:p>
    <w:p w:rsidR="00365379" w:rsidRDefault="00365379" w:rsidP="00365379">
      <w:pPr>
        <w:pStyle w:val="Listeafsnit"/>
        <w:numPr>
          <w:ilvl w:val="0"/>
          <w:numId w:val="17"/>
        </w:numPr>
        <w:spacing w:before="120"/>
        <w:ind w:left="714" w:hanging="357"/>
        <w:contextualSpacing w:val="0"/>
        <w:jc w:val="left"/>
      </w:pPr>
      <w:r>
        <w:rPr>
          <w:b/>
        </w:rPr>
        <w:t>Arbejdspakker i relation til GD1 programsekretariatet</w:t>
      </w:r>
      <w:r w:rsidRPr="00E63A9B">
        <w:rPr>
          <w:b/>
        </w:rPr>
        <w:br/>
      </w:r>
      <w:r>
        <w:t>Indeholder</w:t>
      </w:r>
      <w:r w:rsidRPr="006821D0">
        <w:t xml:space="preserve"> </w:t>
      </w:r>
      <w:r>
        <w:t>en beskrivelse af arbejdspakker</w:t>
      </w:r>
      <w:r w:rsidR="00F82316">
        <w:t xml:space="preserve"> under ejendomsdataprogrammet, dvs. opgaver som skal varetages på tværs af de enkelte projekter i GD1.</w:t>
      </w:r>
      <w:r>
        <w:br/>
        <w:t>Dokumentet vedl</w:t>
      </w:r>
      <w:r w:rsidR="00BA698E">
        <w:t>igeholdes af</w:t>
      </w:r>
      <w:r>
        <w:t xml:space="preserve"> GD1 sekretariatet.</w:t>
      </w:r>
    </w:p>
    <w:p w:rsidR="00365379" w:rsidRDefault="00365379" w:rsidP="00365379">
      <w:pPr>
        <w:pStyle w:val="Listeafsnit"/>
        <w:numPr>
          <w:ilvl w:val="0"/>
          <w:numId w:val="17"/>
        </w:numPr>
        <w:spacing w:before="120"/>
        <w:ind w:left="714" w:hanging="357"/>
        <w:contextualSpacing w:val="0"/>
        <w:jc w:val="left"/>
      </w:pPr>
      <w:r>
        <w:rPr>
          <w:b/>
        </w:rPr>
        <w:t>Arbejdspakker i relation til Matriklens udvidelse (MU)</w:t>
      </w:r>
      <w:r w:rsidRPr="00E63A9B">
        <w:rPr>
          <w:b/>
        </w:rPr>
        <w:br/>
      </w:r>
      <w:r>
        <w:t>Indeholder</w:t>
      </w:r>
      <w:r w:rsidRPr="006821D0">
        <w:t xml:space="preserve"> </w:t>
      </w:r>
      <w:r>
        <w:t xml:space="preserve">en beskrivelse af arbejdspakker i relation til </w:t>
      </w:r>
      <w:r w:rsidR="00F82316">
        <w:t>”Matriklens Udvidelse”</w:t>
      </w:r>
      <w:r>
        <w:t>.</w:t>
      </w:r>
      <w:r>
        <w:br/>
        <w:t xml:space="preserve">Dokumentet vedligeholdes af </w:t>
      </w:r>
      <w:r w:rsidR="004A3859">
        <w:t>GST</w:t>
      </w:r>
      <w:r>
        <w:t xml:space="preserve"> i samarbejde med GD1 programsekretariatet.</w:t>
      </w:r>
    </w:p>
    <w:p w:rsidR="00365379" w:rsidRDefault="00365379" w:rsidP="00365379">
      <w:pPr>
        <w:pStyle w:val="Listeafsnit"/>
        <w:numPr>
          <w:ilvl w:val="0"/>
          <w:numId w:val="17"/>
        </w:numPr>
        <w:spacing w:before="120"/>
        <w:ind w:left="714" w:hanging="357"/>
        <w:contextualSpacing w:val="0"/>
        <w:jc w:val="left"/>
      </w:pPr>
      <w:r>
        <w:rPr>
          <w:b/>
        </w:rPr>
        <w:t>Arbejdspakker i relation til Ejerfortegnelsen (EF)</w:t>
      </w:r>
      <w:r w:rsidRPr="00E63A9B">
        <w:rPr>
          <w:b/>
        </w:rPr>
        <w:br/>
      </w:r>
      <w:r>
        <w:t>Indeholder</w:t>
      </w:r>
      <w:r w:rsidRPr="006821D0">
        <w:t xml:space="preserve"> </w:t>
      </w:r>
      <w:r>
        <w:t xml:space="preserve">en beskrivelse af arbejdspakker i relation til </w:t>
      </w:r>
      <w:r w:rsidR="004A3859">
        <w:t>”Ny ejerfortegnelse”</w:t>
      </w:r>
      <w:r>
        <w:t>.</w:t>
      </w:r>
      <w:r>
        <w:br/>
        <w:t xml:space="preserve">Dokumentet vedligeholdes af </w:t>
      </w:r>
      <w:r w:rsidR="004A3859">
        <w:t>GST</w:t>
      </w:r>
      <w:r>
        <w:t xml:space="preserve"> i samarbejde med GD1 programsekretariatet.</w:t>
      </w:r>
    </w:p>
    <w:p w:rsidR="00365379" w:rsidRDefault="00365379" w:rsidP="00365379">
      <w:pPr>
        <w:pStyle w:val="Listeafsnit"/>
        <w:numPr>
          <w:ilvl w:val="0"/>
          <w:numId w:val="17"/>
        </w:numPr>
        <w:spacing w:before="120"/>
        <w:ind w:left="714" w:hanging="357"/>
        <w:contextualSpacing w:val="0"/>
        <w:jc w:val="left"/>
      </w:pPr>
      <w:r>
        <w:rPr>
          <w:b/>
        </w:rPr>
        <w:t>Arbejdspakker i relation til udvidelse af BBR (BBR)</w:t>
      </w:r>
      <w:r w:rsidRPr="00E63A9B">
        <w:rPr>
          <w:b/>
        </w:rPr>
        <w:br/>
      </w:r>
      <w:r>
        <w:t>Indeholder</w:t>
      </w:r>
      <w:r w:rsidRPr="006821D0">
        <w:t xml:space="preserve"> </w:t>
      </w:r>
      <w:r>
        <w:t xml:space="preserve">en beskrivelse af arbejdspakker i relation til </w:t>
      </w:r>
      <w:r w:rsidR="004A3859">
        <w:t>”Udvidelse af BBR”</w:t>
      </w:r>
      <w:r>
        <w:t>.</w:t>
      </w:r>
      <w:r>
        <w:br/>
        <w:t xml:space="preserve">Dokumentet vedligeholdes af </w:t>
      </w:r>
      <w:r w:rsidR="004A3859">
        <w:t>MBBL</w:t>
      </w:r>
      <w:r>
        <w:t xml:space="preserve"> i samarbejde med GD1 programsekretariatet.</w:t>
      </w:r>
    </w:p>
    <w:p w:rsidR="00365379" w:rsidRDefault="00613B2D" w:rsidP="00365379">
      <w:pPr>
        <w:pStyle w:val="Listeafsnit"/>
        <w:numPr>
          <w:ilvl w:val="0"/>
          <w:numId w:val="17"/>
        </w:numPr>
        <w:spacing w:before="120"/>
        <w:ind w:left="714" w:hanging="357"/>
        <w:contextualSpacing w:val="0"/>
        <w:jc w:val="left"/>
      </w:pPr>
      <w:r>
        <w:rPr>
          <w:b/>
        </w:rPr>
        <w:lastRenderedPageBreak/>
        <w:t>Arbejdspakker i relation til tilpasning af Tingbogen (TLR)</w:t>
      </w:r>
      <w:r w:rsidR="00365379" w:rsidRPr="00E63A9B">
        <w:rPr>
          <w:b/>
        </w:rPr>
        <w:br/>
      </w:r>
      <w:r w:rsidR="00365379">
        <w:t>Indeholder</w:t>
      </w:r>
      <w:r w:rsidR="00365379" w:rsidRPr="006821D0">
        <w:t xml:space="preserve"> </w:t>
      </w:r>
      <w:r w:rsidR="00365379">
        <w:t xml:space="preserve">en beskrivelse af arbejdspakker i relation til </w:t>
      </w:r>
      <w:r w:rsidR="004A3859">
        <w:t>tilpasninger i Tingbogen</w:t>
      </w:r>
      <w:r w:rsidR="00365379">
        <w:t>.</w:t>
      </w:r>
      <w:r w:rsidR="00365379">
        <w:br/>
        <w:t xml:space="preserve">Dokumentet vedligeholdes af </w:t>
      </w:r>
      <w:r w:rsidR="004A3859">
        <w:t>TLR</w:t>
      </w:r>
      <w:r w:rsidR="00365379">
        <w:t xml:space="preserve"> i samarbejde med GD1 programsekretariatet.</w:t>
      </w:r>
    </w:p>
    <w:p w:rsidR="00365379" w:rsidRDefault="00613B2D" w:rsidP="00365379">
      <w:pPr>
        <w:pStyle w:val="Listeafsnit"/>
        <w:numPr>
          <w:ilvl w:val="0"/>
          <w:numId w:val="17"/>
        </w:numPr>
        <w:spacing w:before="120"/>
        <w:ind w:left="714" w:hanging="357"/>
        <w:contextualSpacing w:val="0"/>
        <w:jc w:val="left"/>
      </w:pPr>
      <w:r>
        <w:rPr>
          <w:b/>
        </w:rPr>
        <w:t>Arbejdspakker i relation til udstilling af ejendomsvurdering (SKAT)</w:t>
      </w:r>
      <w:r w:rsidR="00365379" w:rsidRPr="00E63A9B">
        <w:rPr>
          <w:b/>
        </w:rPr>
        <w:br/>
      </w:r>
      <w:r w:rsidR="00365379">
        <w:t>Indeholder</w:t>
      </w:r>
      <w:r w:rsidR="00365379" w:rsidRPr="006821D0">
        <w:t xml:space="preserve"> </w:t>
      </w:r>
      <w:r w:rsidR="00365379">
        <w:t xml:space="preserve">en beskrivelse af arbejdspakker i relation til </w:t>
      </w:r>
      <w:r w:rsidR="004A3859">
        <w:t>udstilling af ejendomsvurdering på Datafordeleren.</w:t>
      </w:r>
      <w:r w:rsidR="004A3859">
        <w:br/>
        <w:t>Dokumentet vedligeholdes af SKAT</w:t>
      </w:r>
      <w:r w:rsidR="00365379">
        <w:t xml:space="preserve"> i samarbejde med GD1 programsekretariatet.</w:t>
      </w:r>
    </w:p>
    <w:p w:rsidR="00365379" w:rsidRDefault="00613B2D" w:rsidP="00365379">
      <w:pPr>
        <w:pStyle w:val="Listeafsnit"/>
        <w:numPr>
          <w:ilvl w:val="0"/>
          <w:numId w:val="17"/>
        </w:numPr>
        <w:spacing w:before="120"/>
        <w:ind w:left="714" w:hanging="357"/>
        <w:contextualSpacing w:val="0"/>
        <w:jc w:val="left"/>
      </w:pPr>
      <w:r>
        <w:rPr>
          <w:b/>
        </w:rPr>
        <w:t>Arbejdspakker i relation til nye økonomiløsninger (KL/KOMBIT)</w:t>
      </w:r>
      <w:r w:rsidR="00365379" w:rsidRPr="00E63A9B">
        <w:rPr>
          <w:b/>
        </w:rPr>
        <w:br/>
      </w:r>
      <w:r w:rsidR="00365379">
        <w:t>Indeholder</w:t>
      </w:r>
      <w:r w:rsidR="00365379" w:rsidRPr="006821D0">
        <w:t xml:space="preserve"> </w:t>
      </w:r>
      <w:r w:rsidR="00365379">
        <w:t xml:space="preserve">en beskrivelse af arbejdspakker i relation til </w:t>
      </w:r>
      <w:r w:rsidR="004A3859">
        <w:t>de nye økonomiløsninger til opkrævning af ejendomsskat og ejendomsbidrag</w:t>
      </w:r>
      <w:r w:rsidR="00365379">
        <w:t>.</w:t>
      </w:r>
      <w:r w:rsidR="00365379">
        <w:br/>
        <w:t xml:space="preserve">Dokumentet vedligeholdes af </w:t>
      </w:r>
      <w:r w:rsidR="004A3859">
        <w:t>KOMBIT</w:t>
      </w:r>
      <w:r w:rsidR="00365379">
        <w:t xml:space="preserve"> i samarbejde med GD1 programsekretariatet.</w:t>
      </w:r>
    </w:p>
    <w:p w:rsidR="00365379" w:rsidRDefault="00613B2D" w:rsidP="00365379">
      <w:pPr>
        <w:pStyle w:val="Listeafsnit"/>
        <w:numPr>
          <w:ilvl w:val="0"/>
          <w:numId w:val="17"/>
        </w:numPr>
        <w:spacing w:before="120"/>
        <w:ind w:left="714" w:hanging="357"/>
        <w:contextualSpacing w:val="0"/>
        <w:jc w:val="left"/>
      </w:pPr>
      <w:r>
        <w:rPr>
          <w:b/>
        </w:rPr>
        <w:t>Arbejdspakker i relation til tilpasning af ESR (KL/KOMBIT)</w:t>
      </w:r>
      <w:r w:rsidR="00365379" w:rsidRPr="00E63A9B">
        <w:rPr>
          <w:b/>
        </w:rPr>
        <w:br/>
      </w:r>
      <w:r w:rsidR="00365379">
        <w:t>Indeholder</w:t>
      </w:r>
      <w:r w:rsidR="00365379" w:rsidRPr="006821D0">
        <w:t xml:space="preserve"> </w:t>
      </w:r>
      <w:r w:rsidR="00365379">
        <w:t xml:space="preserve">en beskrivelse af arbejdspakker i relation til </w:t>
      </w:r>
      <w:r w:rsidR="004A3859">
        <w:t>tilpasninger i ESR</w:t>
      </w:r>
      <w:r w:rsidR="00365379">
        <w:t>.</w:t>
      </w:r>
      <w:r w:rsidR="00365379">
        <w:br/>
        <w:t xml:space="preserve">Dokumentet vedligeholdes af </w:t>
      </w:r>
      <w:r w:rsidR="004A3859">
        <w:t>KOMBIT</w:t>
      </w:r>
      <w:r w:rsidR="00365379">
        <w:t xml:space="preserve"> i samarbejde med GD1 programsekretariatet.</w:t>
      </w:r>
    </w:p>
    <w:p w:rsidR="00365379" w:rsidRDefault="00613B2D" w:rsidP="00365379">
      <w:pPr>
        <w:pStyle w:val="Listeafsnit"/>
        <w:numPr>
          <w:ilvl w:val="0"/>
          <w:numId w:val="17"/>
        </w:numPr>
        <w:spacing w:before="120"/>
        <w:ind w:left="714" w:hanging="357"/>
        <w:contextualSpacing w:val="0"/>
        <w:jc w:val="left"/>
      </w:pPr>
      <w:r>
        <w:rPr>
          <w:b/>
        </w:rPr>
        <w:t>Arbejdspakker i relation til tilpasning af OIS (MBBL)</w:t>
      </w:r>
      <w:r w:rsidR="00365379" w:rsidRPr="00E63A9B">
        <w:rPr>
          <w:b/>
        </w:rPr>
        <w:br/>
      </w:r>
      <w:r w:rsidR="00365379">
        <w:t>Indeholder</w:t>
      </w:r>
      <w:r w:rsidR="00365379" w:rsidRPr="006821D0">
        <w:t xml:space="preserve"> </w:t>
      </w:r>
      <w:r w:rsidR="00365379">
        <w:t xml:space="preserve">en beskrivelse af arbejdspakker i relation til </w:t>
      </w:r>
      <w:r w:rsidR="004A3859">
        <w:t>tilpasninger i OIS.</w:t>
      </w:r>
      <w:r w:rsidR="004A3859">
        <w:br/>
        <w:t>Dokumentet vedligeholdes af MBBL</w:t>
      </w:r>
      <w:r w:rsidR="00365379">
        <w:t xml:space="preserve"> i samarbejde med GD1 programsekretariatet.</w:t>
      </w:r>
    </w:p>
    <w:p w:rsidR="004165E3" w:rsidRDefault="004165E3" w:rsidP="004955B1"/>
    <w:p w:rsidR="004955B1" w:rsidRDefault="0008089A" w:rsidP="004955B1">
      <w:r>
        <w:t>Derudover er alle implementeringsplanens arbejdspakker med tilhørende milepæle og afhængigheder oprettet i MS Project, som dermed dels bruges til at skabe et samlet overblik over milepæle og afhængigheder, dels til at sikre kvalitet i den løbende opfølgning på fremdriften i ejendomsdataprogrammet og dets relationer til andre grunddataprogrammer.</w:t>
      </w:r>
    </w:p>
    <w:p w:rsidR="0008089A" w:rsidRPr="004955B1" w:rsidRDefault="0008089A" w:rsidP="004955B1"/>
    <w:p w:rsidR="00D75BC4" w:rsidRPr="00AC5579" w:rsidRDefault="004165E3" w:rsidP="00D75BC4">
      <w:pPr>
        <w:pStyle w:val="Overskrift1"/>
        <w:tabs>
          <w:tab w:val="clear" w:pos="794"/>
          <w:tab w:val="left" w:pos="567"/>
          <w:tab w:val="left" w:pos="851"/>
          <w:tab w:val="left" w:pos="1134"/>
        </w:tabs>
        <w:spacing w:before="0" w:after="120" w:line="288" w:lineRule="auto"/>
        <w:ind w:left="567" w:hanging="567"/>
      </w:pPr>
      <w:bookmarkStart w:id="30" w:name="_Toc401161360"/>
      <w:r>
        <w:lastRenderedPageBreak/>
        <w:t>Interim frem mod m</w:t>
      </w:r>
      <w:r w:rsidR="00156C0B">
        <w:t>ålarkitektur</w:t>
      </w:r>
      <w:r>
        <w:t>en</w:t>
      </w:r>
      <w:bookmarkEnd w:id="30"/>
    </w:p>
    <w:p w:rsidR="00D75BC4" w:rsidRDefault="003F5148" w:rsidP="00D75BC4">
      <w:pPr>
        <w:pStyle w:val="Overskrift2"/>
        <w:rPr>
          <w:lang w:val="da-DK"/>
        </w:rPr>
      </w:pPr>
      <w:bookmarkStart w:id="31" w:name="_Toc401161361"/>
      <w:r>
        <w:rPr>
          <w:lang w:val="da-DK"/>
        </w:rPr>
        <w:t>Overblik</w:t>
      </w:r>
      <w:bookmarkEnd w:id="31"/>
    </w:p>
    <w:p w:rsidR="003F5148" w:rsidRDefault="00F73BAB" w:rsidP="003F5148">
      <w:r>
        <w:t xml:space="preserve">I forbindelse med ejendomsdataprogrammets målarkitektur er der defineret nogle mulige ”trædesten” frem mod målarkitekturen. Disse har været vurderet ifb. udarbejdelsen af denne implementeringsplan og dette har givet anledning til 5 ”interim trædesten” på vejen frem mod målarkitekturen: </w:t>
      </w:r>
    </w:p>
    <w:p w:rsidR="00F73BAB" w:rsidRDefault="00F73BAB" w:rsidP="00F73BAB">
      <w:pPr>
        <w:keepNext/>
      </w:pPr>
      <w:r>
        <w:rPr>
          <w:noProof/>
        </w:rPr>
        <w:drawing>
          <wp:inline distT="0" distB="0" distL="0" distR="0">
            <wp:extent cx="5400675" cy="20294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overbli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675" cy="2029460"/>
                    </a:xfrm>
                    <a:prstGeom prst="rect">
                      <a:avLst/>
                    </a:prstGeom>
                  </pic:spPr>
                </pic:pic>
              </a:graphicData>
            </a:graphic>
          </wp:inline>
        </w:drawing>
      </w:r>
    </w:p>
    <w:p w:rsidR="00CC3AB5" w:rsidRPr="00E722A6" w:rsidRDefault="00CC3AB5" w:rsidP="00E722A6">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w:t>
      </w:r>
      <w:r w:rsidRPr="00140F7B">
        <w:rPr>
          <w:b w:val="0"/>
        </w:rPr>
        <w:fldChar w:fldCharType="end"/>
      </w:r>
      <w:r>
        <w:rPr>
          <w:b w:val="0"/>
        </w:rPr>
        <w:t>.</w:t>
      </w:r>
      <w:r w:rsidRPr="00140F7B">
        <w:rPr>
          <w:b w:val="0"/>
        </w:rPr>
        <w:t xml:space="preserve"> </w:t>
      </w:r>
      <w:r w:rsidR="003F5148">
        <w:rPr>
          <w:b w:val="0"/>
        </w:rPr>
        <w:t xml:space="preserve">”Interim </w:t>
      </w:r>
      <w:r>
        <w:rPr>
          <w:b w:val="0"/>
        </w:rPr>
        <w:t>trædesten” frem mod målarkitekturen</w:t>
      </w:r>
      <w:r w:rsidR="003F5148">
        <w:rPr>
          <w:b w:val="0"/>
        </w:rPr>
        <w:t xml:space="preserve"> for Ejendomsdataprogrammet</w:t>
      </w:r>
      <w:r>
        <w:rPr>
          <w:b w:val="0"/>
        </w:rPr>
        <w:t>.</w:t>
      </w:r>
    </w:p>
    <w:p w:rsidR="003F5148" w:rsidRDefault="00F73BAB" w:rsidP="00CC3AB5">
      <w:r>
        <w:t>Migreringen fra den nuværende situation frem til målarkitekturen planlægges gennemført i følgende trin:</w:t>
      </w:r>
    </w:p>
    <w:p w:rsidR="00F73BAB" w:rsidRDefault="00F73BAB" w:rsidP="006423FD">
      <w:pPr>
        <w:pStyle w:val="Listeafsnit"/>
        <w:numPr>
          <w:ilvl w:val="0"/>
          <w:numId w:val="30"/>
        </w:numPr>
        <w:spacing w:before="60"/>
        <w:ind w:left="714" w:hanging="357"/>
        <w:contextualSpacing w:val="0"/>
        <w:jc w:val="left"/>
      </w:pPr>
      <w:r w:rsidRPr="006423FD">
        <w:rPr>
          <w:b/>
        </w:rPr>
        <w:t xml:space="preserve">Opsplitning af BBR 1.6 i en BBR 1.7 og en BBR </w:t>
      </w:r>
      <w:proofErr w:type="gramStart"/>
      <w:r w:rsidRPr="006423FD">
        <w:rPr>
          <w:b/>
        </w:rPr>
        <w:t>0.9</w:t>
      </w:r>
      <w:proofErr w:type="gramEnd"/>
      <w:r w:rsidRPr="006423FD">
        <w:rPr>
          <w:b/>
        </w:rPr>
        <w:t>.</w:t>
      </w:r>
      <w:r w:rsidRPr="006423FD">
        <w:rPr>
          <w:b/>
        </w:rPr>
        <w:br/>
      </w:r>
      <w:r>
        <w:t>Herved udskilles BBR’s adresser i et selvstændigt register, hvilket er en afgørende forudsætning for den videre udvikling i både GD1 og GD2.</w:t>
      </w:r>
      <w:r>
        <w:br/>
        <w:t>Adresserne kopieres tilbage til BBR 1.7, men vedligeholdes via det nye register.</w:t>
      </w:r>
    </w:p>
    <w:p w:rsidR="006423FD" w:rsidRDefault="006423FD" w:rsidP="006423FD">
      <w:pPr>
        <w:pStyle w:val="Listeafsnit"/>
        <w:numPr>
          <w:ilvl w:val="0"/>
          <w:numId w:val="30"/>
        </w:numPr>
        <w:spacing w:before="60"/>
        <w:ind w:left="714" w:hanging="357"/>
        <w:contextualSpacing w:val="0"/>
        <w:jc w:val="left"/>
      </w:pPr>
      <w:r>
        <w:rPr>
          <w:b/>
        </w:rPr>
        <w:t>”Samlet Fast Ejendom” implementeres som ejendomstype i Matriklen.</w:t>
      </w:r>
      <w:r>
        <w:rPr>
          <w:b/>
        </w:rPr>
        <w:br/>
      </w:r>
      <w:r>
        <w:t>Matriklens</w:t>
      </w:r>
      <w:r w:rsidRPr="006423FD">
        <w:t xml:space="preserve"> registrering af </w:t>
      </w:r>
      <w:r>
        <w:t xml:space="preserve">SFE ophøjes til at være en ejendomsregistrering baseret på </w:t>
      </w:r>
      <w:r w:rsidR="00A43B35">
        <w:t xml:space="preserve">den fælles ejendomsnøgle - </w:t>
      </w:r>
      <w:r>
        <w:t>BFE-nummer, og disse oplysninger gøres tilgængelige på Datafordeleren.</w:t>
      </w:r>
      <w:r w:rsidR="00A43B35">
        <w:t xml:space="preserve"> </w:t>
      </w:r>
      <w:r>
        <w:t>Matriklen klargøres til at kunne håndtere de øvrige ejendomstyper.</w:t>
      </w:r>
    </w:p>
    <w:p w:rsidR="006423FD" w:rsidRDefault="006423FD" w:rsidP="006423FD">
      <w:pPr>
        <w:pStyle w:val="Listeafsnit"/>
        <w:numPr>
          <w:ilvl w:val="0"/>
          <w:numId w:val="30"/>
        </w:numPr>
        <w:spacing w:before="60"/>
        <w:ind w:left="714" w:hanging="357"/>
        <w:contextualSpacing w:val="0"/>
        <w:jc w:val="left"/>
      </w:pPr>
      <w:r>
        <w:rPr>
          <w:b/>
        </w:rPr>
        <w:t>”Ejerlejligheder” implementeres som ejendomstype i Matriklen.</w:t>
      </w:r>
      <w:r>
        <w:rPr>
          <w:b/>
        </w:rPr>
        <w:br/>
      </w:r>
      <w:r>
        <w:t xml:space="preserve">Matriklen overtager ansvaret for registrering af ejerlejligheder baseret på den fælles ejendomsnøgle </w:t>
      </w:r>
      <w:r w:rsidR="00A43B35">
        <w:t xml:space="preserve">- </w:t>
      </w:r>
      <w:r>
        <w:t>BFE-nummer. Ejerlejligheder gøres tilgængelige på Datafordeleren.</w:t>
      </w:r>
    </w:p>
    <w:p w:rsidR="006423FD" w:rsidRDefault="006423FD" w:rsidP="006423FD">
      <w:pPr>
        <w:pStyle w:val="Listeafsnit"/>
        <w:numPr>
          <w:ilvl w:val="0"/>
          <w:numId w:val="30"/>
        </w:numPr>
        <w:spacing w:before="60"/>
        <w:ind w:left="714" w:hanging="357"/>
        <w:contextualSpacing w:val="0"/>
        <w:jc w:val="left"/>
      </w:pPr>
      <w:r w:rsidRPr="00A43B35">
        <w:rPr>
          <w:b/>
        </w:rPr>
        <w:t>Idriftsættelse af en ny ejerfortegnelse.</w:t>
      </w:r>
      <w:r w:rsidRPr="00A43B35">
        <w:rPr>
          <w:b/>
        </w:rPr>
        <w:br/>
      </w:r>
      <w:r>
        <w:t xml:space="preserve">Ejerfortegnelsen med registrering af ”aktuel ejer” og administratorer af ejendomme </w:t>
      </w:r>
      <w:r w:rsidR="00A43B35">
        <w:t>idriftsættes med udstilling af disse oplysninger på Datafordeleren.</w:t>
      </w:r>
    </w:p>
    <w:p w:rsidR="00A43B35" w:rsidRPr="006423FD" w:rsidRDefault="00A43B35" w:rsidP="006423FD">
      <w:pPr>
        <w:pStyle w:val="Listeafsnit"/>
        <w:numPr>
          <w:ilvl w:val="0"/>
          <w:numId w:val="30"/>
        </w:numPr>
        <w:spacing w:before="60"/>
        <w:ind w:left="714" w:hanging="357"/>
        <w:contextualSpacing w:val="0"/>
        <w:jc w:val="left"/>
      </w:pPr>
      <w:r>
        <w:rPr>
          <w:b/>
        </w:rPr>
        <w:t>”BPFG” implementeres som ejendomstype i Matriklen og BBR 2.0 idriftsættes.</w:t>
      </w:r>
      <w:r>
        <w:rPr>
          <w:b/>
        </w:rPr>
        <w:br/>
      </w:r>
      <w:r>
        <w:t>Matriklen overtager ansvaret for registrering af BPFG baseret på den fælles ejendomsnøgle - BFE-nummer. BPFG gøres tilgængelige på Datafordeleren.</w:t>
      </w:r>
      <w:r>
        <w:br/>
        <w:t xml:space="preserve">Samtidig idriftsættes BBR 2.0 – et BBR uden adresser frigjort fra bindinger til ESR og det dertil knyttede ejendomsnummer. </w:t>
      </w:r>
      <w:r>
        <w:br/>
        <w:t xml:space="preserve">Bygnings- og boligdata gøres tilgængelige på Datafordeleren. </w:t>
      </w:r>
    </w:p>
    <w:p w:rsidR="00F73BAB" w:rsidRPr="006423FD" w:rsidRDefault="00F73BAB" w:rsidP="00CC3AB5"/>
    <w:p w:rsidR="00F73BAB" w:rsidRDefault="00A43B35" w:rsidP="00D604DE">
      <w:pPr>
        <w:spacing w:after="120"/>
      </w:pPr>
      <w:r>
        <w:t>De enkelte interim situationer beskrives nærmere nedenfor.</w:t>
      </w:r>
      <w:r w:rsidR="00D604DE">
        <w:t xml:space="preserve"> I den forbindelse anvendes følgende symboler til beskrivelse af dataindhold i et register: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44"/>
      </w:tblGrid>
      <w:tr w:rsidR="00D604DE" w:rsidTr="00AD4C18">
        <w:tc>
          <w:tcPr>
            <w:tcW w:w="1101" w:type="dxa"/>
          </w:tcPr>
          <w:p w:rsidR="00D604DE" w:rsidRDefault="00D604DE" w:rsidP="00D604DE">
            <w:pPr>
              <w:spacing w:after="120"/>
            </w:pPr>
            <w:r>
              <w:rPr>
                <w:noProof/>
              </w:rPr>
              <w:lastRenderedPageBreak/>
              <w:drawing>
                <wp:inline distT="0" distB="0" distL="0" distR="0" wp14:anchorId="36EB5D3F" wp14:editId="7E650423">
                  <wp:extent cx="371825" cy="347443"/>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 - Grunddataregister.png"/>
                          <pic:cNvPicPr/>
                        </pic:nvPicPr>
                        <pic:blipFill>
                          <a:blip r:embed="rId10">
                            <a:extLst>
                              <a:ext uri="{28A0092B-C50C-407E-A947-70E740481C1C}">
                                <a14:useLocalDpi xmlns:a14="http://schemas.microsoft.com/office/drawing/2010/main" val="0"/>
                              </a:ext>
                            </a:extLst>
                          </a:blip>
                          <a:stretch>
                            <a:fillRect/>
                          </a:stretch>
                        </pic:blipFill>
                        <pic:spPr>
                          <a:xfrm>
                            <a:off x="0" y="0"/>
                            <a:ext cx="371825" cy="347443"/>
                          </a:xfrm>
                          <a:prstGeom prst="rect">
                            <a:avLst/>
                          </a:prstGeom>
                        </pic:spPr>
                      </pic:pic>
                    </a:graphicData>
                  </a:graphic>
                </wp:inline>
              </w:drawing>
            </w:r>
          </w:p>
        </w:tc>
        <w:tc>
          <w:tcPr>
            <w:tcW w:w="7544" w:type="dxa"/>
          </w:tcPr>
          <w:p w:rsidR="00D604DE" w:rsidRDefault="00AD4C18" w:rsidP="00AD4C18">
            <w:pPr>
              <w:spacing w:after="120"/>
            </w:pPr>
            <w:r>
              <w:t>Registrets data er autoritative grunddata for de pågældende informationer og udstilles som sådan på Datafordeleren.</w:t>
            </w:r>
          </w:p>
        </w:tc>
      </w:tr>
      <w:tr w:rsidR="00D604DE" w:rsidTr="00AD4C18">
        <w:tc>
          <w:tcPr>
            <w:tcW w:w="1101" w:type="dxa"/>
          </w:tcPr>
          <w:p w:rsidR="00D604DE" w:rsidRDefault="00D604DE" w:rsidP="00D604DE">
            <w:pPr>
              <w:spacing w:after="120"/>
            </w:pPr>
            <w:r>
              <w:rPr>
                <w:noProof/>
              </w:rPr>
              <w:drawing>
                <wp:inline distT="0" distB="0" distL="0" distR="0" wp14:anchorId="39E716BB" wp14:editId="715FD3CE">
                  <wp:extent cx="371825" cy="298679"/>
                  <wp:effectExtent l="0" t="0" r="9525" b="635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 - Autoritative data.png"/>
                          <pic:cNvPicPr/>
                        </pic:nvPicPr>
                        <pic:blipFill>
                          <a:blip r:embed="rId11">
                            <a:extLst>
                              <a:ext uri="{28A0092B-C50C-407E-A947-70E740481C1C}">
                                <a14:useLocalDpi xmlns:a14="http://schemas.microsoft.com/office/drawing/2010/main" val="0"/>
                              </a:ext>
                            </a:extLst>
                          </a:blip>
                          <a:stretch>
                            <a:fillRect/>
                          </a:stretch>
                        </pic:blipFill>
                        <pic:spPr>
                          <a:xfrm>
                            <a:off x="0" y="0"/>
                            <a:ext cx="371825" cy="298679"/>
                          </a:xfrm>
                          <a:prstGeom prst="rect">
                            <a:avLst/>
                          </a:prstGeom>
                        </pic:spPr>
                      </pic:pic>
                    </a:graphicData>
                  </a:graphic>
                </wp:inline>
              </w:drawing>
            </w:r>
          </w:p>
        </w:tc>
        <w:tc>
          <w:tcPr>
            <w:tcW w:w="7544" w:type="dxa"/>
          </w:tcPr>
          <w:p w:rsidR="00D604DE" w:rsidRDefault="00AD4C18" w:rsidP="00AD4C18">
            <w:pPr>
              <w:spacing w:after="120"/>
            </w:pPr>
            <w:r>
              <w:t>Registrets data er autoritative data for de pågældende informationer men udstilles</w:t>
            </w:r>
            <w:r w:rsidRPr="00AD4C18">
              <w:rPr>
                <w:b/>
              </w:rPr>
              <w:t xml:space="preserve"> ikke</w:t>
            </w:r>
            <w:r>
              <w:t xml:space="preserve"> som grunddata på Datafordeleren.</w:t>
            </w:r>
          </w:p>
        </w:tc>
      </w:tr>
      <w:tr w:rsidR="00D604DE" w:rsidTr="00AD4C18">
        <w:tc>
          <w:tcPr>
            <w:tcW w:w="1101" w:type="dxa"/>
          </w:tcPr>
          <w:p w:rsidR="00D604DE" w:rsidRDefault="00D604DE" w:rsidP="00D604DE">
            <w:pPr>
              <w:spacing w:after="120"/>
            </w:pPr>
            <w:r>
              <w:rPr>
                <w:noProof/>
              </w:rPr>
              <w:drawing>
                <wp:inline distT="0" distB="0" distL="0" distR="0" wp14:anchorId="22B93AF5" wp14:editId="37179369">
                  <wp:extent cx="390112" cy="353539"/>
                  <wp:effectExtent l="0" t="0" r="0" b="889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 - Kopiregister.png"/>
                          <pic:cNvPicPr/>
                        </pic:nvPicPr>
                        <pic:blipFill>
                          <a:blip r:embed="rId12">
                            <a:extLst>
                              <a:ext uri="{28A0092B-C50C-407E-A947-70E740481C1C}">
                                <a14:useLocalDpi xmlns:a14="http://schemas.microsoft.com/office/drawing/2010/main" val="0"/>
                              </a:ext>
                            </a:extLst>
                          </a:blip>
                          <a:stretch>
                            <a:fillRect/>
                          </a:stretch>
                        </pic:blipFill>
                        <pic:spPr>
                          <a:xfrm>
                            <a:off x="0" y="0"/>
                            <a:ext cx="390112" cy="353539"/>
                          </a:xfrm>
                          <a:prstGeom prst="rect">
                            <a:avLst/>
                          </a:prstGeom>
                        </pic:spPr>
                      </pic:pic>
                    </a:graphicData>
                  </a:graphic>
                </wp:inline>
              </w:drawing>
            </w:r>
          </w:p>
        </w:tc>
        <w:tc>
          <w:tcPr>
            <w:tcW w:w="7544" w:type="dxa"/>
          </w:tcPr>
          <w:p w:rsidR="00D604DE" w:rsidRDefault="00AD4C18" w:rsidP="00AD4C18">
            <w:pPr>
              <w:spacing w:after="120"/>
            </w:pPr>
            <w:r>
              <w:t>Registrets data er kopidata, som opdateres manuelt og/eller maskinelt med data fra et andet autoritativt register.</w:t>
            </w:r>
          </w:p>
        </w:tc>
      </w:tr>
    </w:tbl>
    <w:p w:rsidR="005A077F" w:rsidRPr="005757EE" w:rsidRDefault="001F480D" w:rsidP="00B24238">
      <w:pPr>
        <w:pStyle w:val="Overskrift2"/>
        <w:rPr>
          <w:lang w:val="da-DK"/>
        </w:rPr>
      </w:pPr>
      <w:bookmarkStart w:id="32" w:name="_Toc401161362"/>
      <w:r>
        <w:rPr>
          <w:lang w:val="da-DK"/>
        </w:rPr>
        <w:t>I</w:t>
      </w:r>
      <w:r w:rsidR="003F5148">
        <w:rPr>
          <w:lang w:val="da-DK"/>
        </w:rPr>
        <w:t>nterim A:</w:t>
      </w:r>
      <w:r w:rsidR="00B24238">
        <w:rPr>
          <w:lang w:val="da-DK"/>
        </w:rPr>
        <w:t xml:space="preserve"> </w:t>
      </w:r>
      <w:r w:rsidR="00B24238" w:rsidRPr="00B24238">
        <w:rPr>
          <w:lang w:val="da-DK"/>
        </w:rPr>
        <w:t>Opsplitning</w:t>
      </w:r>
      <w:r w:rsidR="00B24238">
        <w:rPr>
          <w:lang w:val="da-DK"/>
        </w:rPr>
        <w:t xml:space="preserve"> af BBR i BBR 1.7 og DAR </w:t>
      </w:r>
      <w:proofErr w:type="gramStart"/>
      <w:r w:rsidR="00B24238">
        <w:rPr>
          <w:lang w:val="da-DK"/>
        </w:rPr>
        <w:t>0.9</w:t>
      </w:r>
      <w:bookmarkEnd w:id="32"/>
      <w:proofErr w:type="gramEnd"/>
    </w:p>
    <w:p w:rsidR="005757EE" w:rsidRDefault="005757EE" w:rsidP="00B24238">
      <w:pPr>
        <w:keepNext/>
      </w:pPr>
      <w:r>
        <w:rPr>
          <w:noProof/>
        </w:rPr>
        <w:drawing>
          <wp:inline distT="0" distB="0" distL="0" distR="0">
            <wp:extent cx="5400675" cy="3663950"/>
            <wp:effectExtent l="0" t="0" r="952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A - BBR 1.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675" cy="3663950"/>
                    </a:xfrm>
                    <a:prstGeom prst="rect">
                      <a:avLst/>
                    </a:prstGeom>
                  </pic:spPr>
                </pic:pic>
              </a:graphicData>
            </a:graphic>
          </wp:inline>
        </w:drawing>
      </w:r>
    </w:p>
    <w:p w:rsidR="001F480D" w:rsidRPr="00E82804" w:rsidRDefault="001F480D" w:rsidP="00E82804">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2</w:t>
      </w:r>
      <w:r w:rsidRPr="00140F7B">
        <w:rPr>
          <w:b w:val="0"/>
        </w:rPr>
        <w:fldChar w:fldCharType="end"/>
      </w:r>
      <w:r>
        <w:rPr>
          <w:b w:val="0"/>
        </w:rPr>
        <w:t>.</w:t>
      </w:r>
      <w:r w:rsidRPr="00140F7B">
        <w:rPr>
          <w:b w:val="0"/>
        </w:rPr>
        <w:t xml:space="preserve"> </w:t>
      </w:r>
      <w:r w:rsidR="003F5148">
        <w:rPr>
          <w:b w:val="0"/>
        </w:rPr>
        <w:t xml:space="preserve">Hovedsystemer i interim </w:t>
      </w:r>
      <w:r w:rsidR="00B24238">
        <w:rPr>
          <w:b w:val="0"/>
        </w:rPr>
        <w:t>A med opsplitning af BBR i Bygning/Bolig og Adresser</w:t>
      </w:r>
      <w:r>
        <w:rPr>
          <w:b w:val="0"/>
        </w:rPr>
        <w:t>.</w:t>
      </w:r>
    </w:p>
    <w:p w:rsidR="00D0261C" w:rsidRDefault="00D0261C" w:rsidP="00D0261C">
      <w:r>
        <w:t xml:space="preserve">BBR og DAR skal udbudsmæssigt ses som et systemkompleks, hvor der dels skal ske en klar opsplitning mellem BBR og DAR, dels ske en væsentlig nyudvikling af begge løsninger. </w:t>
      </w:r>
    </w:p>
    <w:p w:rsidR="00D0261C" w:rsidRDefault="00D0261C" w:rsidP="00D0261C">
      <w:pPr>
        <w:spacing w:after="120"/>
      </w:pPr>
      <w:r>
        <w:t>Derfor er denne interimløsning med opsplitning af BBR og DAR en væsentlig forudsætning for både gD1 og GD2 og de dertil hørende udbud af it-løsninger.</w:t>
      </w:r>
    </w:p>
    <w:p w:rsidR="007B4EB7" w:rsidRDefault="00A43B35" w:rsidP="003F5148">
      <w:r>
        <w:t xml:space="preserve">Registreringen af adresser flyttes fra det nuværende BBR til et nyt adresseregister (DAR </w:t>
      </w:r>
      <w:proofErr w:type="gramStart"/>
      <w:r>
        <w:t>0.9</w:t>
      </w:r>
      <w:proofErr w:type="gramEnd"/>
      <w:r>
        <w:t>) hørende under Adresseprogrammet.</w:t>
      </w:r>
      <w:r w:rsidR="00D604DE">
        <w:t xml:space="preserve"> I den forbindelse implementeres en ny version af BBR (BBR 1.7), </w:t>
      </w:r>
      <w:r w:rsidR="007B4EB7">
        <w:t>der som en interimløsning</w:t>
      </w:r>
      <w:r w:rsidR="00D604DE">
        <w:t xml:space="preserve"> stadig indeholder adresser som kopidata født af DAR. </w:t>
      </w:r>
    </w:p>
    <w:p w:rsidR="00D0261C" w:rsidRDefault="00D604DE" w:rsidP="00D0261C">
      <w:pPr>
        <w:spacing w:after="120"/>
      </w:pPr>
      <w:r>
        <w:t xml:space="preserve">Da DAR </w:t>
      </w:r>
      <w:proofErr w:type="gramStart"/>
      <w:r w:rsidR="007B4EB7">
        <w:t>0.9</w:t>
      </w:r>
      <w:proofErr w:type="gramEnd"/>
      <w:r w:rsidR="007B4EB7">
        <w:t xml:space="preserve"> </w:t>
      </w:r>
      <w:r>
        <w:t xml:space="preserve">og BBR 1.7 ikke benytter samme adressemodel, vil der ifb. indlæsningen af adresser i BBR 1.7 sker en konvertering mellem de to adresseformater. </w:t>
      </w:r>
    </w:p>
    <w:p w:rsidR="007B4EB7" w:rsidRDefault="00D604DE" w:rsidP="003F1B70">
      <w:pPr>
        <w:spacing w:after="120"/>
      </w:pPr>
      <w:r>
        <w:t xml:space="preserve">Adresseudstillingen </w:t>
      </w:r>
      <w:r w:rsidR="00D0261C">
        <w:t>(AWS 4.0)</w:t>
      </w:r>
      <w:r>
        <w:t xml:space="preserve"> </w:t>
      </w:r>
      <w:r w:rsidR="00D0261C">
        <w:t>håndteres</w:t>
      </w:r>
      <w:r>
        <w:t xml:space="preserve"> i denne interimperiode </w:t>
      </w:r>
      <w:r w:rsidR="00D0261C">
        <w:t>på baggrund af</w:t>
      </w:r>
      <w:r>
        <w:t xml:space="preserve"> BBR</w:t>
      </w:r>
      <w:r w:rsidR="00D0261C">
        <w:t>-data</w:t>
      </w:r>
      <w:r>
        <w:t>.</w:t>
      </w:r>
      <w:r w:rsidR="00A43B35">
        <w:t xml:space="preserve"> </w:t>
      </w:r>
    </w:p>
    <w:p w:rsidR="00B24238" w:rsidRPr="005757EE" w:rsidRDefault="003F5148" w:rsidP="00B24238">
      <w:pPr>
        <w:pStyle w:val="Overskrift2"/>
        <w:rPr>
          <w:lang w:val="da-DK"/>
        </w:rPr>
      </w:pPr>
      <w:bookmarkStart w:id="33" w:name="_Toc401161363"/>
      <w:r>
        <w:rPr>
          <w:lang w:val="da-DK"/>
        </w:rPr>
        <w:lastRenderedPageBreak/>
        <w:t>Interim B:</w:t>
      </w:r>
      <w:r w:rsidR="00B24238">
        <w:rPr>
          <w:lang w:val="da-DK"/>
        </w:rPr>
        <w:t xml:space="preserve"> Ejendomstype ”Samlet Fast Ejendom”</w:t>
      </w:r>
      <w:bookmarkEnd w:id="33"/>
    </w:p>
    <w:p w:rsidR="005757EE" w:rsidRDefault="005757EE" w:rsidP="00B24238">
      <w:pPr>
        <w:keepNext/>
      </w:pPr>
      <w:r>
        <w:rPr>
          <w:noProof/>
        </w:rPr>
        <w:drawing>
          <wp:inline distT="0" distB="0" distL="0" distR="0">
            <wp:extent cx="5400675" cy="3663950"/>
            <wp:effectExtent l="0" t="0" r="952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B - SF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675" cy="3663950"/>
                    </a:xfrm>
                    <a:prstGeom prst="rect">
                      <a:avLst/>
                    </a:prstGeom>
                  </pic:spPr>
                </pic:pic>
              </a:graphicData>
            </a:graphic>
          </wp:inline>
        </w:drawing>
      </w:r>
    </w:p>
    <w:p w:rsidR="003F5148" w:rsidRPr="00E82804" w:rsidRDefault="003F5148" w:rsidP="003F5148">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3</w:t>
      </w:r>
      <w:r w:rsidRPr="00140F7B">
        <w:rPr>
          <w:b w:val="0"/>
        </w:rPr>
        <w:fldChar w:fldCharType="end"/>
      </w:r>
      <w:r>
        <w:rPr>
          <w:b w:val="0"/>
        </w:rPr>
        <w:t>.</w:t>
      </w:r>
      <w:r w:rsidRPr="00140F7B">
        <w:rPr>
          <w:b w:val="0"/>
        </w:rPr>
        <w:t xml:space="preserve"> </w:t>
      </w:r>
      <w:r>
        <w:rPr>
          <w:b w:val="0"/>
        </w:rPr>
        <w:t xml:space="preserve">Hovedsystemer i interim </w:t>
      </w:r>
      <w:r w:rsidR="00B24238">
        <w:rPr>
          <w:b w:val="0"/>
        </w:rPr>
        <w:t>B – Samlet Fast Ejendom som ejendomstype i Matriklen</w:t>
      </w:r>
      <w:r>
        <w:rPr>
          <w:b w:val="0"/>
        </w:rPr>
        <w:t>.</w:t>
      </w:r>
    </w:p>
    <w:p w:rsidR="003F5148" w:rsidRDefault="00015208" w:rsidP="00122389">
      <w:pPr>
        <w:spacing w:after="120"/>
      </w:pPr>
      <w:r>
        <w:t>I denne interimløsning implementeres Matriklens udvidelse fuldt ud rent teknisk</w:t>
      </w:r>
      <w:r w:rsidR="005A077F">
        <w:t>, o</w:t>
      </w:r>
      <w:r>
        <w:t>mend det kun er</w:t>
      </w:r>
      <w:r w:rsidR="00D0261C">
        <w:t xml:space="preserve"> ejendomstypen</w:t>
      </w:r>
      <w:r>
        <w:t xml:space="preserve"> ”Samlet Fast Ejendom”, som implementeres forretningsmæssigt. Det nuværende SFE-nummer ophøjes til BFE-nummer.</w:t>
      </w:r>
    </w:p>
    <w:p w:rsidR="00015208" w:rsidRDefault="00015208" w:rsidP="00122389">
      <w:pPr>
        <w:spacing w:after="120"/>
      </w:pPr>
      <w:r>
        <w:t xml:space="preserve">For de direkte anvendere inden for GD1 har denne implementering forholdsvis begrænsede </w:t>
      </w:r>
      <w:r w:rsidR="00122389">
        <w:t>konsekvenser. Interfaces bevare</w:t>
      </w:r>
      <w:r>
        <w:t xml:space="preserve">s </w:t>
      </w:r>
      <w:r w:rsidR="005A077F">
        <w:t>som de er</w:t>
      </w:r>
      <w:r w:rsidR="005A0D03">
        <w:t>,</w:t>
      </w:r>
      <w:r w:rsidR="005A077F">
        <w:t xml:space="preserve"> bortset fra at</w:t>
      </w:r>
      <w:r>
        <w:t xml:space="preserve"> BFE-nummer nu er inkluderet i disse</w:t>
      </w:r>
      <w:r w:rsidR="00122389">
        <w:t>, således at Tingbog, ESR m.fl. ad denne vej kan tilknytte BFE-nummer til deres ejendomsregistrering.</w:t>
      </w:r>
    </w:p>
    <w:p w:rsidR="005A0D03" w:rsidRDefault="005A0D03" w:rsidP="00122389">
      <w:pPr>
        <w:spacing w:after="120"/>
      </w:pPr>
      <w:r>
        <w:t>De øvrige ejendomstyper – ejerlejligheder og BPFG – påvirkes ikke af denne interim implementering. Autoritativt register for ejerlejligheder er fortsat Tingbogen og ESR er autoritativt register for BPFG (selvom BPFG i et vist omfang også er registreret i Tingbogen).</w:t>
      </w:r>
    </w:p>
    <w:p w:rsidR="00122389" w:rsidRDefault="00122389" w:rsidP="00122389">
      <w:pPr>
        <w:spacing w:after="120"/>
      </w:pPr>
      <w:r>
        <w:t>Matriklens udvidelse implementeres fuldt ud på Datafordeleren</w:t>
      </w:r>
      <w:r w:rsidR="005A077F">
        <w:t>, men den</w:t>
      </w:r>
      <w:r>
        <w:t xml:space="preserve"> tilhørende database kun vil have forekomster af ejendomstypen SFE i denne interimfase.</w:t>
      </w:r>
    </w:p>
    <w:p w:rsidR="005A077F" w:rsidRDefault="005A077F" w:rsidP="00122389">
      <w:pPr>
        <w:spacing w:after="120"/>
      </w:pPr>
      <w:r>
        <w:t>I kommunikationen mellem Matriklen og Tinglysning implementeres en ”</w:t>
      </w:r>
      <w:r w:rsidR="00327BF2">
        <w:t xml:space="preserve">attestationssløjfe”, </w:t>
      </w:r>
      <w:r>
        <w:t>s</w:t>
      </w:r>
      <w:r w:rsidR="00327BF2">
        <w:t xml:space="preserve">om Matriklen ifb. </w:t>
      </w:r>
      <w:proofErr w:type="gramStart"/>
      <w:r w:rsidR="00327BF2">
        <w:t>oprettelse af ejendomme benytter til at sikre sig mod evt. tinglyste forhold, som oprettelsen af en ejendom skal tage hensyn til.</w:t>
      </w:r>
      <w:proofErr w:type="gramEnd"/>
    </w:p>
    <w:p w:rsidR="00C43085" w:rsidRDefault="00C43085" w:rsidP="00122389">
      <w:pPr>
        <w:spacing w:after="120"/>
      </w:pPr>
      <w:r>
        <w:t xml:space="preserve">I perioden mellem ”Interim A” og ”Interim B” vil der i GD2 ske en opgradering af DAR </w:t>
      </w:r>
      <w:proofErr w:type="gramStart"/>
      <w:r>
        <w:t>0.9</w:t>
      </w:r>
      <w:proofErr w:type="gramEnd"/>
      <w:r>
        <w:t xml:space="preserve"> til DAR 1.0, men da interface og ansvarsfordeling ift. BBR er uændret har det mindre betydning.</w:t>
      </w:r>
    </w:p>
    <w:p w:rsidR="00C43085" w:rsidRDefault="00C43085" w:rsidP="00122389">
      <w:pPr>
        <w:spacing w:after="120"/>
      </w:pPr>
      <w:r>
        <w:t xml:space="preserve">DAR 1.0 betyder dog, at OIS nu kan begynde omlægning, således disse i stedet hentes med DAR som kilde </w:t>
      </w:r>
      <w:r w:rsidR="002D41B7">
        <w:t xml:space="preserve">(fx via Datafordeleren) </w:t>
      </w:r>
      <w:r>
        <w:t xml:space="preserve">i stedet for BBR. Så denne omlægning kan </w:t>
      </w:r>
      <w:r w:rsidR="0081652D">
        <w:t>være gennemført inden ”Interim E</w:t>
      </w:r>
      <w:r>
        <w:t>”. Omlægningen skal senest være gennemført ifb. ”Interim E”, idet adresserne med BBR 2.0 helt forsvinder fra BBR.</w:t>
      </w:r>
    </w:p>
    <w:p w:rsidR="003F5148" w:rsidRPr="005757EE" w:rsidRDefault="003F5148" w:rsidP="00B24238">
      <w:pPr>
        <w:pStyle w:val="Overskrift2"/>
        <w:rPr>
          <w:lang w:val="da-DK"/>
        </w:rPr>
      </w:pPr>
      <w:bookmarkStart w:id="34" w:name="_Toc401161364"/>
      <w:r>
        <w:rPr>
          <w:lang w:val="da-DK"/>
        </w:rPr>
        <w:lastRenderedPageBreak/>
        <w:t xml:space="preserve">Interim C: </w:t>
      </w:r>
      <w:r w:rsidR="00B24238">
        <w:rPr>
          <w:lang w:val="da-DK"/>
        </w:rPr>
        <w:t>Ejendomstype ”Ejerlejligheder”</w:t>
      </w:r>
      <w:bookmarkEnd w:id="34"/>
    </w:p>
    <w:p w:rsidR="005757EE" w:rsidRDefault="005757EE" w:rsidP="00B24238">
      <w:pPr>
        <w:keepNext/>
      </w:pPr>
      <w:r>
        <w:rPr>
          <w:noProof/>
        </w:rPr>
        <w:drawing>
          <wp:inline distT="0" distB="0" distL="0" distR="0">
            <wp:extent cx="5400675" cy="3663950"/>
            <wp:effectExtent l="0" t="0" r="952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C - Ejerlejlighed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675" cy="3663950"/>
                    </a:xfrm>
                    <a:prstGeom prst="rect">
                      <a:avLst/>
                    </a:prstGeom>
                  </pic:spPr>
                </pic:pic>
              </a:graphicData>
            </a:graphic>
          </wp:inline>
        </w:drawing>
      </w:r>
    </w:p>
    <w:p w:rsidR="003F5148" w:rsidRDefault="003F5148" w:rsidP="003F5148">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4</w:t>
      </w:r>
      <w:r w:rsidRPr="00140F7B">
        <w:rPr>
          <w:b w:val="0"/>
        </w:rPr>
        <w:fldChar w:fldCharType="end"/>
      </w:r>
      <w:r>
        <w:rPr>
          <w:b w:val="0"/>
        </w:rPr>
        <w:t>.</w:t>
      </w:r>
      <w:r w:rsidRPr="00140F7B">
        <w:rPr>
          <w:b w:val="0"/>
        </w:rPr>
        <w:t xml:space="preserve"> </w:t>
      </w:r>
      <w:r>
        <w:rPr>
          <w:b w:val="0"/>
        </w:rPr>
        <w:t xml:space="preserve">Hovedsystemer i interim </w:t>
      </w:r>
      <w:r w:rsidR="00B24238">
        <w:rPr>
          <w:b w:val="0"/>
        </w:rPr>
        <w:t>C – Ejerlejligheder som ejendomstype i Matriklen.</w:t>
      </w:r>
    </w:p>
    <w:p w:rsidR="007B0AE2" w:rsidRDefault="007B0AE2" w:rsidP="007B0AE2">
      <w:pPr>
        <w:spacing w:after="120"/>
      </w:pPr>
      <w:r>
        <w:t>I denne interimløsning implementeres ejendomstypen ”Ejerlejlighed” i Matriklen med BFE-nummer som entydig ejendomsnøgle. Dermed ophører Tingbogen med at være autoritativt register for denne ejendomstype.</w:t>
      </w:r>
    </w:p>
    <w:p w:rsidR="007B0AE2" w:rsidRDefault="007B0AE2" w:rsidP="007B0AE2">
      <w:pPr>
        <w:spacing w:after="120"/>
      </w:pPr>
      <w:r>
        <w:t xml:space="preserve">I forhold til de forskellige anvendere er der kun tale om mindre ændringer. Matriklen </w:t>
      </w:r>
      <w:proofErr w:type="gramStart"/>
      <w:r>
        <w:t>blive</w:t>
      </w:r>
      <w:proofErr w:type="gramEnd"/>
      <w:r>
        <w:t xml:space="preserve"> eneanmelder af ejerlejligheder til Tingbogen, som derfra opretter disse</w:t>
      </w:r>
      <w:r w:rsidR="002D41B7">
        <w:t xml:space="preserve"> som hidtil – do</w:t>
      </w:r>
      <w:r w:rsidR="00783A3B">
        <w:t xml:space="preserve">g baseret på den nye ejendomsnøgle BFE-nummer. Den videre kommunikation til andre anvendere – herunder ESR – foregår efter </w:t>
      </w:r>
      <w:proofErr w:type="gramStart"/>
      <w:r w:rsidR="00783A3B">
        <w:t>de</w:t>
      </w:r>
      <w:proofErr w:type="gramEnd"/>
      <w:r w:rsidR="00783A3B">
        <w:t xml:space="preserve"> nuværende </w:t>
      </w:r>
      <w:proofErr w:type="gramStart"/>
      <w:r w:rsidR="00783A3B">
        <w:t>mønster</w:t>
      </w:r>
      <w:proofErr w:type="gramEnd"/>
      <w:r w:rsidR="00783A3B">
        <w:t xml:space="preserve"> ift. Tingbogen.</w:t>
      </w:r>
    </w:p>
    <w:p w:rsidR="00783A3B" w:rsidRDefault="00783A3B" w:rsidP="00783A3B">
      <w:pPr>
        <w:spacing w:after="120"/>
      </w:pPr>
      <w:r>
        <w:t>Matriklens ejerlejligheder implementeres på Datafordeleren og udstilles derfra som autoritative grunddata om ejendomme – nu omfattende ejendomstyperne ”Samlet Fast Ejendom” og ”Ejerlejligheder”.</w:t>
      </w:r>
    </w:p>
    <w:p w:rsidR="00B24238" w:rsidRPr="00B24238" w:rsidRDefault="00B24238" w:rsidP="00B24238"/>
    <w:p w:rsidR="00B24238" w:rsidRPr="005757EE" w:rsidRDefault="00B24238" w:rsidP="00B24238">
      <w:pPr>
        <w:pStyle w:val="Overskrift2"/>
        <w:rPr>
          <w:lang w:val="da-DK"/>
        </w:rPr>
      </w:pPr>
      <w:bookmarkStart w:id="35" w:name="_Toc401161365"/>
      <w:r>
        <w:rPr>
          <w:lang w:val="da-DK"/>
        </w:rPr>
        <w:lastRenderedPageBreak/>
        <w:t>Interim D: Ejerfortegnelse</w:t>
      </w:r>
      <w:bookmarkEnd w:id="35"/>
    </w:p>
    <w:p w:rsidR="005757EE" w:rsidRPr="00B24238" w:rsidRDefault="005757EE" w:rsidP="00B24238">
      <w:r>
        <w:rPr>
          <w:noProof/>
        </w:rPr>
        <w:drawing>
          <wp:inline distT="0" distB="0" distL="0" distR="0">
            <wp:extent cx="5400675" cy="3663950"/>
            <wp:effectExtent l="0" t="0" r="9525"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D - Ejerfortegnel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675" cy="3663950"/>
                    </a:xfrm>
                    <a:prstGeom prst="rect">
                      <a:avLst/>
                    </a:prstGeom>
                  </pic:spPr>
                </pic:pic>
              </a:graphicData>
            </a:graphic>
          </wp:inline>
        </w:drawing>
      </w:r>
    </w:p>
    <w:p w:rsidR="00B24238" w:rsidRPr="00E82804" w:rsidRDefault="00B24238" w:rsidP="00B24238">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5</w:t>
      </w:r>
      <w:r w:rsidRPr="00140F7B">
        <w:rPr>
          <w:b w:val="0"/>
        </w:rPr>
        <w:fldChar w:fldCharType="end"/>
      </w:r>
      <w:r>
        <w:rPr>
          <w:b w:val="0"/>
        </w:rPr>
        <w:t>.</w:t>
      </w:r>
      <w:r w:rsidRPr="00140F7B">
        <w:rPr>
          <w:b w:val="0"/>
        </w:rPr>
        <w:t xml:space="preserve"> </w:t>
      </w:r>
      <w:r>
        <w:rPr>
          <w:b w:val="0"/>
        </w:rPr>
        <w:t>Hovedsystemer i interim D – Implementering af ny Ejerfortegnelse.</w:t>
      </w:r>
    </w:p>
    <w:p w:rsidR="00116A33" w:rsidRDefault="00116A33" w:rsidP="00116A33">
      <w:pPr>
        <w:spacing w:after="120"/>
      </w:pPr>
      <w:r>
        <w:t xml:space="preserve">I denne interimløsning implementeres den nye ”Ejerfortegnelse” som </w:t>
      </w:r>
      <w:r w:rsidR="0085689E" w:rsidRPr="003D6C6F">
        <w:rPr>
          <w:rFonts w:asciiTheme="minorHAnsi" w:hAnsiTheme="minorHAnsi"/>
          <w:szCs w:val="22"/>
        </w:rPr>
        <w:t>autoritativt register over de faktiske ejere af al fast ejendom i Danmar</w:t>
      </w:r>
      <w:r w:rsidR="0085689E">
        <w:rPr>
          <w:rFonts w:asciiTheme="minorHAnsi" w:hAnsiTheme="minorHAnsi"/>
          <w:szCs w:val="22"/>
        </w:rPr>
        <w:t xml:space="preserve">k. </w:t>
      </w:r>
      <w:r w:rsidR="0085689E" w:rsidRPr="003D6C6F">
        <w:rPr>
          <w:rFonts w:asciiTheme="minorHAnsi" w:hAnsiTheme="minorHAnsi"/>
          <w:szCs w:val="22"/>
        </w:rPr>
        <w:t xml:space="preserve">Desuden </w:t>
      </w:r>
      <w:r w:rsidR="003516A9">
        <w:rPr>
          <w:rFonts w:asciiTheme="minorHAnsi" w:hAnsiTheme="minorHAnsi"/>
          <w:szCs w:val="22"/>
        </w:rPr>
        <w:t>etableres</w:t>
      </w:r>
      <w:r w:rsidR="0085689E" w:rsidRPr="003D6C6F">
        <w:rPr>
          <w:rFonts w:asciiTheme="minorHAnsi" w:hAnsiTheme="minorHAnsi"/>
          <w:szCs w:val="22"/>
        </w:rPr>
        <w:t xml:space="preserve"> Ejerfortegnelsen </w:t>
      </w:r>
      <w:r w:rsidR="003516A9">
        <w:rPr>
          <w:rFonts w:asciiTheme="minorHAnsi" w:hAnsiTheme="minorHAnsi"/>
          <w:szCs w:val="22"/>
        </w:rPr>
        <w:t xml:space="preserve">som </w:t>
      </w:r>
      <w:r w:rsidR="0085689E">
        <w:rPr>
          <w:rFonts w:asciiTheme="minorHAnsi" w:hAnsiTheme="minorHAnsi"/>
          <w:szCs w:val="22"/>
        </w:rPr>
        <w:t xml:space="preserve">et register over </w:t>
      </w:r>
      <w:r w:rsidR="0085689E" w:rsidRPr="003D6C6F">
        <w:rPr>
          <w:rFonts w:asciiTheme="minorHAnsi" w:hAnsiTheme="minorHAnsi"/>
          <w:szCs w:val="22"/>
        </w:rPr>
        <w:t>administrato</w:t>
      </w:r>
      <w:r w:rsidR="0085689E">
        <w:rPr>
          <w:rFonts w:asciiTheme="minorHAnsi" w:hAnsiTheme="minorHAnsi"/>
          <w:szCs w:val="22"/>
        </w:rPr>
        <w:t>rer tilknyttet et ejendomsejerskab,</w:t>
      </w:r>
      <w:r w:rsidR="0085689E" w:rsidRPr="003D6C6F">
        <w:rPr>
          <w:rFonts w:asciiTheme="minorHAnsi" w:hAnsiTheme="minorHAnsi"/>
          <w:szCs w:val="22"/>
        </w:rPr>
        <w:t xml:space="preserve"> som på ejers foranledning, er indsat som den der skal modtage meddelelser fra det offentlige, herunder ejendomsskattebilletten og bidrag vedr. ejendommen</w:t>
      </w:r>
      <w:r w:rsidR="0085689E">
        <w:rPr>
          <w:rFonts w:asciiTheme="minorHAnsi" w:hAnsiTheme="minorHAnsi"/>
          <w:szCs w:val="22"/>
        </w:rPr>
        <w:t xml:space="preserve">. Ejerfortegnelsen </w:t>
      </w:r>
      <w:r>
        <w:t>afløs</w:t>
      </w:r>
      <w:r w:rsidR="0085689E">
        <w:t xml:space="preserve">er den hidtidige </w:t>
      </w:r>
      <w:r>
        <w:t>registrering af faktiske ejere og administratorer i ESR.</w:t>
      </w:r>
    </w:p>
    <w:p w:rsidR="00116A33" w:rsidRDefault="00116A33" w:rsidP="00116A33">
      <w:pPr>
        <w:spacing w:after="120"/>
      </w:pPr>
      <w:r>
        <w:t xml:space="preserve">Langt de fleste oplysninger om ejere af ejendomme vil som hidtil blive indfanget </w:t>
      </w:r>
      <w:r w:rsidR="00E04BCF">
        <w:t xml:space="preserve">og registreret </w:t>
      </w:r>
      <w:r>
        <w:t xml:space="preserve">af Tingbogen ifb. </w:t>
      </w:r>
      <w:proofErr w:type="gramStart"/>
      <w:r>
        <w:t>tinglysninger af udstykninger og salg af fast ejendom</w:t>
      </w:r>
      <w:r w:rsidR="00E04BCF">
        <w:t>.</w:t>
      </w:r>
      <w:proofErr w:type="gramEnd"/>
      <w:r w:rsidR="0085689E">
        <w:t xml:space="preserve"> Disse oplysninger kommunikeres til Ejerfortegnelsen, som dermed bliver </w:t>
      </w:r>
      <w:r w:rsidR="00815F09">
        <w:t xml:space="preserve">autoritativt </w:t>
      </w:r>
      <w:r w:rsidR="0085689E">
        <w:t>register over både tinglyste og ikke-tinglyste ejerskaber.</w:t>
      </w:r>
      <w:r w:rsidR="00815F09">
        <w:t xml:space="preserve"> Tingbogen vil stadig have registreret det tinglyste ejerskab – også selvom dette efterfølgende overtages af anden person/virksomhed uden en tinglysning.</w:t>
      </w:r>
    </w:p>
    <w:p w:rsidR="00815F09" w:rsidRDefault="00815F09" w:rsidP="00116A33">
      <w:pPr>
        <w:spacing w:after="120"/>
      </w:pPr>
      <w:r>
        <w:t>Tinglysningens registrering af tinglyste ejerskaber kommunikeres som hidtil til ESR, således rutiner her kan opretholdes i en paralleldriftsperiode.</w:t>
      </w:r>
    </w:p>
    <w:p w:rsidR="00116A33" w:rsidRDefault="00116A33" w:rsidP="00116A33">
      <w:pPr>
        <w:spacing w:after="120"/>
      </w:pPr>
      <w:r>
        <w:t>Ejerfortegnelsens oplysninger om ejere og administratorer implementeres på Datafordeleren og udstilles derfra som autoritative grunddata.</w:t>
      </w:r>
    </w:p>
    <w:p w:rsidR="003516A9" w:rsidRDefault="003516A9" w:rsidP="00116A33">
      <w:pPr>
        <w:spacing w:after="120"/>
      </w:pPr>
      <w:r>
        <w:t>Ejerfortegnelsen selv henter oplysninger om Matriklens ejendomme samt CVR og CPR oplysninger fra Datafordeleren.</w:t>
      </w:r>
    </w:p>
    <w:p w:rsidR="0085689E" w:rsidRDefault="0085689E" w:rsidP="00116A33">
      <w:pPr>
        <w:spacing w:after="120"/>
      </w:pPr>
    </w:p>
    <w:p w:rsidR="0081652D" w:rsidRPr="005757EE" w:rsidRDefault="00B24238" w:rsidP="001A4CE0">
      <w:pPr>
        <w:pStyle w:val="Overskrift2"/>
        <w:rPr>
          <w:lang w:val="da-DK"/>
        </w:rPr>
      </w:pPr>
      <w:bookmarkStart w:id="36" w:name="_Toc401161366"/>
      <w:r>
        <w:rPr>
          <w:lang w:val="da-DK"/>
        </w:rPr>
        <w:lastRenderedPageBreak/>
        <w:t>Interim E: Ejendomstype ”BPFG”</w:t>
      </w:r>
      <w:r w:rsidR="001A4CE0">
        <w:rPr>
          <w:lang w:val="da-DK"/>
        </w:rPr>
        <w:t xml:space="preserve"> og BBR 2.0</w:t>
      </w:r>
      <w:bookmarkEnd w:id="36"/>
    </w:p>
    <w:p w:rsidR="005757EE" w:rsidRDefault="005757EE" w:rsidP="001A4CE0">
      <w:pPr>
        <w:keepNext/>
      </w:pPr>
      <w:r>
        <w:rPr>
          <w:noProof/>
        </w:rPr>
        <w:drawing>
          <wp:inline distT="0" distB="0" distL="0" distR="0">
            <wp:extent cx="5400675" cy="3663950"/>
            <wp:effectExtent l="0" t="0" r="952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E - BPFG og BBR 2.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675" cy="3663950"/>
                    </a:xfrm>
                    <a:prstGeom prst="rect">
                      <a:avLst/>
                    </a:prstGeom>
                  </pic:spPr>
                </pic:pic>
              </a:graphicData>
            </a:graphic>
          </wp:inline>
        </w:drawing>
      </w:r>
    </w:p>
    <w:p w:rsidR="00B24238" w:rsidRDefault="00B24238" w:rsidP="00B24238">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6</w:t>
      </w:r>
      <w:r w:rsidRPr="00140F7B">
        <w:rPr>
          <w:b w:val="0"/>
        </w:rPr>
        <w:fldChar w:fldCharType="end"/>
      </w:r>
      <w:r>
        <w:rPr>
          <w:b w:val="0"/>
        </w:rPr>
        <w:t>.</w:t>
      </w:r>
      <w:r w:rsidRPr="00140F7B">
        <w:rPr>
          <w:b w:val="0"/>
        </w:rPr>
        <w:t xml:space="preserve"> </w:t>
      </w:r>
      <w:r>
        <w:rPr>
          <w:b w:val="0"/>
        </w:rPr>
        <w:t xml:space="preserve">Hovedsystemer i interim C – </w:t>
      </w:r>
      <w:r w:rsidR="001A4CE0">
        <w:rPr>
          <w:b w:val="0"/>
        </w:rPr>
        <w:t>BPFG</w:t>
      </w:r>
      <w:r>
        <w:rPr>
          <w:b w:val="0"/>
        </w:rPr>
        <w:t xml:space="preserve"> som ejendomstype i Matriklen</w:t>
      </w:r>
      <w:r w:rsidR="001A4CE0">
        <w:rPr>
          <w:b w:val="0"/>
        </w:rPr>
        <w:t xml:space="preserve"> samt BBR 2.0</w:t>
      </w:r>
      <w:r>
        <w:rPr>
          <w:b w:val="0"/>
        </w:rPr>
        <w:t>.</w:t>
      </w:r>
    </w:p>
    <w:p w:rsidR="008D424D" w:rsidRDefault="008D424D" w:rsidP="008D424D">
      <w:pPr>
        <w:spacing w:after="120"/>
      </w:pPr>
      <w:r>
        <w:t>I denne interimløsning implementeres ejendomstypen ”BPFG” i Matriklen med BFE-nummer som entydig ejendomsnøgle. Dermed ophører ESR med at være autoritativt register for denne ejendomstype.</w:t>
      </w:r>
      <w:r w:rsidR="0081652D">
        <w:t xml:space="preserve"> Derudover implementeres BBR 2.0</w:t>
      </w:r>
      <w:r w:rsidR="004417C1">
        <w:t>.</w:t>
      </w:r>
    </w:p>
    <w:p w:rsidR="008D424D" w:rsidRDefault="008D424D" w:rsidP="004417C1">
      <w:r>
        <w:t>Implementeringen af BPFG i Matriklen er så tæt knyttet til BBR 2.0 forretningsmæssigt, at disse to implementeringer gennemføres samtidigt. En adskillelse vil medføre for mange og for komplekse interimløsninger, som vil genere brugerne unødigt.</w:t>
      </w:r>
    </w:p>
    <w:p w:rsidR="0081652D" w:rsidRDefault="0081652D" w:rsidP="008D424D">
      <w:pPr>
        <w:spacing w:after="120"/>
      </w:pPr>
      <w:r>
        <w:t>Det er ifb. ”Interim E”, at Matriklen åbner op for LSP-klientens samspil med BBR</w:t>
      </w:r>
      <w:r w:rsidR="004417C1">
        <w:t xml:space="preserve"> hhv. for at den kommunale medarbejder via BBR-klienten kan oprette BPFG i Matriklen.</w:t>
      </w:r>
      <w:r>
        <w:t>.</w:t>
      </w:r>
    </w:p>
    <w:p w:rsidR="0081652D" w:rsidRDefault="0081652D" w:rsidP="0081652D">
      <w:pPr>
        <w:spacing w:after="120"/>
      </w:pPr>
      <w:r>
        <w:t>Matriklens registrering af BPFG kommunikeres til Tingbogen, således denne kan tilknytte korrekt BFE-nummer til de BPFG, som tinglyses.</w:t>
      </w:r>
    </w:p>
    <w:p w:rsidR="0081652D" w:rsidRDefault="0081652D" w:rsidP="0081652D">
      <w:pPr>
        <w:spacing w:after="120"/>
      </w:pPr>
      <w:r>
        <w:t xml:space="preserve">Matriklens </w:t>
      </w:r>
      <w:r w:rsidR="002D41B7">
        <w:t>BPFG</w:t>
      </w:r>
      <w:r>
        <w:t xml:space="preserve"> implementeres på Datafordeleren og udstilles derfra som autoritative grunddata om ejendomme – nu omfattende ejendomstyperne ”Samlet Fast Ejendom”</w:t>
      </w:r>
      <w:r w:rsidR="002D41B7">
        <w:t>,</w:t>
      </w:r>
      <w:r>
        <w:t xml:space="preserve"> ”Ejerlejligheder”</w:t>
      </w:r>
      <w:r w:rsidR="002D41B7">
        <w:t xml:space="preserve"> og ”BPFG”</w:t>
      </w:r>
      <w:r>
        <w:t>.</w:t>
      </w:r>
    </w:p>
    <w:p w:rsidR="004417C1" w:rsidRDefault="004417C1" w:rsidP="008D424D">
      <w:pPr>
        <w:spacing w:after="120"/>
      </w:pPr>
      <w:r>
        <w:t>Ved implementering af BBR 2.0 skifter BBR ejendomsnøgle fra ESR-ejendomsnummer til Matriklens BFE-nummer. BBR frigøres for bindinger til ESR. Der er også med BBR 2.0, at adresser forsvinder helt fra BBR-registret og fuldt ud overgår til at blive hentet fra DAR (via Datafordeleren).</w:t>
      </w:r>
    </w:p>
    <w:p w:rsidR="004417C1" w:rsidRDefault="004417C1" w:rsidP="004417C1">
      <w:pPr>
        <w:spacing w:after="120"/>
      </w:pPr>
      <w:r>
        <w:t>BBR’s oplysninger om bygninger og boliger implementeres på Datafordeleren og udstilles derfra som autoritative grunddata.</w:t>
      </w:r>
    </w:p>
    <w:p w:rsidR="001A4CE0" w:rsidRDefault="003516A9" w:rsidP="003516A9">
      <w:pPr>
        <w:spacing w:after="120"/>
      </w:pPr>
      <w:r>
        <w:t>Med ”Interim B” henter alle GD1 grunddataregistrene data fra andre grunddataregistre fra Datafordeleren.</w:t>
      </w:r>
    </w:p>
    <w:p w:rsidR="0081652D" w:rsidRPr="005757EE" w:rsidRDefault="001A4CE0" w:rsidP="001A4CE0">
      <w:pPr>
        <w:pStyle w:val="Overskrift2"/>
        <w:rPr>
          <w:lang w:val="da-DK"/>
        </w:rPr>
      </w:pPr>
      <w:bookmarkStart w:id="37" w:name="_Toc401161367"/>
      <w:r>
        <w:rPr>
          <w:lang w:val="da-DK"/>
        </w:rPr>
        <w:lastRenderedPageBreak/>
        <w:t>Målarkitekturens ”TO BE” løsning</w:t>
      </w:r>
      <w:bookmarkEnd w:id="37"/>
    </w:p>
    <w:p w:rsidR="005757EE" w:rsidRDefault="005505B2" w:rsidP="001A4CE0">
      <w:pPr>
        <w:keepNext/>
      </w:pPr>
      <w:r>
        <w:rPr>
          <w:noProof/>
        </w:rPr>
        <w:drawing>
          <wp:inline distT="0" distB="0" distL="0" distR="0">
            <wp:extent cx="5391150" cy="3657600"/>
            <wp:effectExtent l="0" t="0" r="0" b="0"/>
            <wp:docPr id="2" name="Billede 2" descr="C:\Users\B001116\Desktop\Figu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1116\Desktop\Figur 7.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0" cy="3657600"/>
                    </a:xfrm>
                    <a:prstGeom prst="rect">
                      <a:avLst/>
                    </a:prstGeom>
                    <a:noFill/>
                    <a:ln>
                      <a:noFill/>
                    </a:ln>
                  </pic:spPr>
                </pic:pic>
              </a:graphicData>
            </a:graphic>
          </wp:inline>
        </w:drawing>
      </w:r>
    </w:p>
    <w:p w:rsidR="001A4CE0" w:rsidRPr="00E82804" w:rsidRDefault="001A4CE0" w:rsidP="001A4CE0">
      <w:pPr>
        <w:pStyle w:val="Billedtekst"/>
        <w:spacing w:before="0"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7</w:t>
      </w:r>
      <w:r w:rsidRPr="00140F7B">
        <w:rPr>
          <w:b w:val="0"/>
        </w:rPr>
        <w:fldChar w:fldCharType="end"/>
      </w:r>
      <w:r>
        <w:rPr>
          <w:b w:val="0"/>
        </w:rPr>
        <w:t>.</w:t>
      </w:r>
      <w:r w:rsidRPr="00140F7B">
        <w:rPr>
          <w:b w:val="0"/>
        </w:rPr>
        <w:t xml:space="preserve"> </w:t>
      </w:r>
      <w:r>
        <w:rPr>
          <w:b w:val="0"/>
        </w:rPr>
        <w:t>Hovedsystemer i målarkitekturen – TO BE løsningen.</w:t>
      </w:r>
    </w:p>
    <w:p w:rsidR="003F5148" w:rsidRDefault="00FF1B3F" w:rsidP="003F5148">
      <w:r>
        <w:t>I målarkitekturen – efter paralleldrift perioden – er ESR udfaset som ejendomstamregister og erstattet af de samarbejdende grunddataregistre</w:t>
      </w:r>
      <w:r w:rsidR="005F38AC">
        <w:t>:</w:t>
      </w:r>
      <w:r>
        <w:t xml:space="preserve"> Matriklen, Ejerfortegnelsen og BBR</w:t>
      </w:r>
      <w:r w:rsidR="005F38AC">
        <w:t>.</w:t>
      </w:r>
    </w:p>
    <w:p w:rsidR="005F38AC" w:rsidRDefault="005F38AC" w:rsidP="005F38AC">
      <w:pPr>
        <w:spacing w:after="120"/>
      </w:pPr>
      <w:r>
        <w:t>I det omfang ejerskab og rettigheder til ejendomme tinglyses, foregår dette som hidtil via den elektroniske tinglysning, men nu med BFE-nummer som ejendomsnøgle.</w:t>
      </w:r>
    </w:p>
    <w:p w:rsidR="005505B2" w:rsidRDefault="005505B2" w:rsidP="005505B2">
      <w:r>
        <w:t xml:space="preserve">Det er en del af GD7-aftalen, at driften af OIS </w:t>
      </w:r>
      <w:r w:rsidRPr="005505B2">
        <w:t xml:space="preserve">skal </w:t>
      </w:r>
      <w:r>
        <w:t xml:space="preserve">varetages af Datafordeleren i ”to </w:t>
      </w:r>
      <w:proofErr w:type="spellStart"/>
      <w:r>
        <w:t>be</w:t>
      </w:r>
      <w:proofErr w:type="spellEnd"/>
      <w:r>
        <w:t xml:space="preserve">” løsningen. For at driften af OIS kan flyttes, er der indledningsvis behov for en række afklaringer, herunder arkitekturmæssige afklaringer, ligesom der skal ske yderligere tilpasninger for at sikre at OIS kan modtage alle relevante data. Dette ligger dog uden for </w:t>
      </w:r>
      <w:proofErr w:type="spellStart"/>
      <w:r>
        <w:t>scope</w:t>
      </w:r>
      <w:proofErr w:type="spellEnd"/>
      <w:r>
        <w:t xml:space="preserve"> af ejendomsdataprogrammet og er derfor ikke en del af denne implementeringsplan. </w:t>
      </w:r>
    </w:p>
    <w:p w:rsidR="001F480D" w:rsidRDefault="001F480D" w:rsidP="001F480D"/>
    <w:p w:rsidR="0073321F" w:rsidRPr="00AC5579" w:rsidRDefault="0073321F" w:rsidP="0073321F">
      <w:pPr>
        <w:pStyle w:val="Overskrift1"/>
        <w:tabs>
          <w:tab w:val="clear" w:pos="794"/>
          <w:tab w:val="left" w:pos="567"/>
          <w:tab w:val="left" w:pos="851"/>
          <w:tab w:val="left" w:pos="1134"/>
        </w:tabs>
        <w:spacing w:before="0" w:after="120" w:line="288" w:lineRule="auto"/>
        <w:ind w:left="567" w:hanging="567"/>
      </w:pPr>
      <w:bookmarkStart w:id="38" w:name="_Toc353390024"/>
      <w:bookmarkStart w:id="39" w:name="_Toc401161368"/>
      <w:r>
        <w:lastRenderedPageBreak/>
        <w:t>Fælles implementeringsplan</w:t>
      </w:r>
      <w:bookmarkEnd w:id="38"/>
      <w:bookmarkEnd w:id="39"/>
    </w:p>
    <w:p w:rsidR="0073321F" w:rsidRDefault="0073321F" w:rsidP="0073321F">
      <w:pPr>
        <w:pStyle w:val="Overskrift2"/>
        <w:rPr>
          <w:lang w:val="da-DK"/>
        </w:rPr>
      </w:pPr>
      <w:bookmarkStart w:id="40" w:name="_Toc353390025"/>
      <w:bookmarkStart w:id="41" w:name="_Toc401161369"/>
      <w:r>
        <w:rPr>
          <w:lang w:val="da-DK"/>
        </w:rPr>
        <w:t>Planens projekter</w:t>
      </w:r>
      <w:bookmarkEnd w:id="40"/>
      <w:bookmarkEnd w:id="41"/>
    </w:p>
    <w:p w:rsidR="0073321F" w:rsidRDefault="0024753C" w:rsidP="0073321F">
      <w:r>
        <w:t>Ejendoms</w:t>
      </w:r>
      <w:r w:rsidR="0073321F">
        <w:t>dataprogrammet består af en række projekter hos de forskellige aftalepartnere. Disse projekter har en del indbyrdes afhængigheder, men der er også dele af de enkelte projektforløb, som kun har betydning for den enkelte aftalepartner.</w:t>
      </w:r>
    </w:p>
    <w:p w:rsidR="0073321F" w:rsidRDefault="0073321F" w:rsidP="00707642">
      <w:pPr>
        <w:spacing w:after="120"/>
      </w:pPr>
      <w:r>
        <w:t>Det drejer sig om følgende projekter: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111"/>
      </w:tblGrid>
      <w:tr w:rsidR="0073321F" w:rsidTr="004B3BFA">
        <w:tc>
          <w:tcPr>
            <w:tcW w:w="534" w:type="dxa"/>
          </w:tcPr>
          <w:p w:rsidR="0073321F" w:rsidRPr="00CD518A" w:rsidRDefault="0073321F" w:rsidP="0073321F">
            <w:pPr>
              <w:spacing w:before="120"/>
              <w:rPr>
                <w:b/>
              </w:rPr>
            </w:pPr>
            <w:r w:rsidRPr="00CD518A">
              <w:rPr>
                <w:b/>
              </w:rPr>
              <w:t>P</w:t>
            </w:r>
            <w:r w:rsidR="00707642" w:rsidRPr="00CD518A">
              <w:rPr>
                <w:b/>
              </w:rPr>
              <w:t>1</w:t>
            </w:r>
          </w:p>
        </w:tc>
        <w:tc>
          <w:tcPr>
            <w:tcW w:w="8111" w:type="dxa"/>
          </w:tcPr>
          <w:p w:rsidR="0073321F" w:rsidRPr="00CD518A" w:rsidRDefault="00707642" w:rsidP="0073321F">
            <w:pPr>
              <w:spacing w:before="120"/>
              <w:rPr>
                <w:b/>
              </w:rPr>
            </w:pPr>
            <w:r w:rsidRPr="00CD518A">
              <w:rPr>
                <w:b/>
              </w:rPr>
              <w:t>Udvikling og idriftsættelse af Matrik</w:t>
            </w:r>
            <w:r w:rsidR="005A077F">
              <w:rPr>
                <w:b/>
              </w:rPr>
              <w:t>lens udvidelse</w:t>
            </w:r>
            <w:r w:rsidR="00C10B3F" w:rsidRPr="00CD518A">
              <w:rPr>
                <w:b/>
              </w:rPr>
              <w:t xml:space="preserve"> (GST)</w:t>
            </w:r>
            <w:r w:rsidR="00D650B5">
              <w:rPr>
                <w:b/>
              </w:rPr>
              <w:t xml:space="preserve"> – Forkortet ”MU”.</w:t>
            </w:r>
          </w:p>
          <w:p w:rsidR="00707642" w:rsidRDefault="0073321F" w:rsidP="0073321F">
            <w:r>
              <w:t xml:space="preserve">Tilpasning af </w:t>
            </w:r>
            <w:r w:rsidR="00707642">
              <w:t>MiniMAKS til stamregister for ejendomsbegrebet Bestemt fast ejendom med de tre tilhørende ejendomstyper: Samlet fast ejendom, Ejerlejlighed og Bygning på fremmed grund.</w:t>
            </w:r>
            <w:r w:rsidR="00D41A60">
              <w:t xml:space="preserve"> Omfatter services udstillet via Datafordeleren.</w:t>
            </w:r>
          </w:p>
          <w:p w:rsidR="0073321F" w:rsidRDefault="00707642" w:rsidP="0073321F">
            <w:r>
              <w:t xml:space="preserve">Omfatter datavask af </w:t>
            </w:r>
            <w:r w:rsidR="00C10B3F">
              <w:t>importerede data ift. nuværende kildesystemer, en hhv. indberetnings- og godkendelsesportal samt udstillingsservices ift. datafordeleren.</w:t>
            </w:r>
          </w:p>
        </w:tc>
      </w:tr>
      <w:tr w:rsidR="00CD518A" w:rsidTr="00CD518A">
        <w:tc>
          <w:tcPr>
            <w:tcW w:w="534" w:type="dxa"/>
          </w:tcPr>
          <w:p w:rsidR="00CD518A" w:rsidRPr="00CD518A" w:rsidRDefault="00CD518A" w:rsidP="00CD518A">
            <w:pPr>
              <w:spacing w:before="120"/>
              <w:rPr>
                <w:b/>
              </w:rPr>
            </w:pPr>
            <w:r>
              <w:rPr>
                <w:b/>
              </w:rPr>
              <w:t>P2</w:t>
            </w:r>
          </w:p>
        </w:tc>
        <w:tc>
          <w:tcPr>
            <w:tcW w:w="8111" w:type="dxa"/>
          </w:tcPr>
          <w:p w:rsidR="00CD518A" w:rsidRPr="00041C30" w:rsidRDefault="00CD518A" w:rsidP="00CD518A">
            <w:pPr>
              <w:spacing w:before="120"/>
              <w:rPr>
                <w:b/>
              </w:rPr>
            </w:pPr>
            <w:r w:rsidRPr="00041C30">
              <w:rPr>
                <w:b/>
              </w:rPr>
              <w:t>Udvikling og idriftsættelse</w:t>
            </w:r>
            <w:r w:rsidR="00D650B5">
              <w:rPr>
                <w:b/>
              </w:rPr>
              <w:t xml:space="preserve"> af en ny Ejerfortegnelse (GST) – Forkortet ”EF”.</w:t>
            </w:r>
          </w:p>
          <w:p w:rsidR="00CD518A" w:rsidRDefault="00CD518A" w:rsidP="00CD518A">
            <w:r>
              <w:t xml:space="preserve">Omfatter </w:t>
            </w:r>
            <w:r w:rsidRPr="00FE48A0">
              <w:t>etablering af Ejerfortegnelsen baseret på Matriklens registrering af bestemt fast ejendom identificeret ved BFE-n</w:t>
            </w:r>
            <w:r>
              <w:t>ummer</w:t>
            </w:r>
            <w:r w:rsidRPr="00FE48A0">
              <w:t xml:space="preserve"> </w:t>
            </w:r>
            <w:proofErr w:type="gramStart"/>
            <w:r w:rsidRPr="00FE48A0">
              <w:t>samt  services</w:t>
            </w:r>
            <w:proofErr w:type="gramEnd"/>
            <w:r w:rsidRPr="00FE48A0">
              <w:t xml:space="preserve"> for udstilling af ejeroplysninger via Datafordeleren.</w:t>
            </w:r>
          </w:p>
          <w:p w:rsidR="00CD518A" w:rsidRDefault="00CD518A" w:rsidP="00CD518A">
            <w:r w:rsidRPr="00FE48A0">
              <w:t>Tilpasning af tinglysningssystemet til at kunne identificere samlede faste ejendomme, ejerlejligheder og bygninger på fremmed grund ved BFE-n</w:t>
            </w:r>
            <w:r>
              <w:t>ummer.</w:t>
            </w:r>
          </w:p>
        </w:tc>
      </w:tr>
      <w:tr w:rsidR="0073321F" w:rsidTr="004B3BFA">
        <w:tc>
          <w:tcPr>
            <w:tcW w:w="534" w:type="dxa"/>
          </w:tcPr>
          <w:p w:rsidR="0073321F" w:rsidRPr="00CD518A" w:rsidRDefault="00C10B3F" w:rsidP="00D47C4A">
            <w:pPr>
              <w:spacing w:before="120"/>
              <w:rPr>
                <w:b/>
              </w:rPr>
            </w:pPr>
            <w:r w:rsidRPr="00CD518A">
              <w:rPr>
                <w:b/>
              </w:rPr>
              <w:t>P</w:t>
            </w:r>
            <w:r w:rsidR="00CD518A">
              <w:rPr>
                <w:b/>
              </w:rPr>
              <w:t>3</w:t>
            </w:r>
          </w:p>
        </w:tc>
        <w:tc>
          <w:tcPr>
            <w:tcW w:w="8111" w:type="dxa"/>
          </w:tcPr>
          <w:p w:rsidR="00C10B3F" w:rsidRPr="00CD518A" w:rsidRDefault="00041C30" w:rsidP="00C10B3F">
            <w:pPr>
              <w:spacing w:before="120"/>
              <w:rPr>
                <w:b/>
              </w:rPr>
            </w:pPr>
            <w:r>
              <w:rPr>
                <w:b/>
              </w:rPr>
              <w:t xml:space="preserve">BBR - </w:t>
            </w:r>
            <w:r w:rsidR="00C10B3F" w:rsidRPr="00CD518A">
              <w:rPr>
                <w:b/>
              </w:rPr>
              <w:t xml:space="preserve">Udvikling og idriftsættelse af </w:t>
            </w:r>
            <w:r>
              <w:rPr>
                <w:b/>
              </w:rPr>
              <w:t xml:space="preserve">udvidet </w:t>
            </w:r>
            <w:r w:rsidR="00C10B3F" w:rsidRPr="00CD518A">
              <w:rPr>
                <w:b/>
              </w:rPr>
              <w:t>BBR (MBBL).</w:t>
            </w:r>
          </w:p>
          <w:p w:rsidR="00D41A60" w:rsidRDefault="00C10B3F" w:rsidP="00C10B3F">
            <w:r>
              <w:t>Ændring af BBR til ny model, som anvender Bestemt fast ejendom fra Matriklen som ejendomsbegreb i stedet for den nuværende anvendelse af begreber fra ESR.</w:t>
            </w:r>
          </w:p>
          <w:p w:rsidR="0073321F" w:rsidRDefault="00D41A60" w:rsidP="00C10B3F">
            <w:r>
              <w:t>Omfatter services udstillet via Datafordeleren.</w:t>
            </w:r>
          </w:p>
        </w:tc>
      </w:tr>
      <w:tr w:rsidR="00041C30" w:rsidTr="00F73BAB">
        <w:tc>
          <w:tcPr>
            <w:tcW w:w="534" w:type="dxa"/>
          </w:tcPr>
          <w:p w:rsidR="00041C30" w:rsidRPr="00CD518A" w:rsidRDefault="00041C30" w:rsidP="00F73BAB">
            <w:pPr>
              <w:spacing w:before="120"/>
              <w:rPr>
                <w:b/>
              </w:rPr>
            </w:pPr>
            <w:r>
              <w:rPr>
                <w:b/>
              </w:rPr>
              <w:t>P4</w:t>
            </w:r>
          </w:p>
        </w:tc>
        <w:tc>
          <w:tcPr>
            <w:tcW w:w="8111" w:type="dxa"/>
          </w:tcPr>
          <w:p w:rsidR="00041C30" w:rsidRPr="00041C30" w:rsidRDefault="00D650B5" w:rsidP="00F73BAB">
            <w:pPr>
              <w:spacing w:before="120"/>
              <w:rPr>
                <w:b/>
              </w:rPr>
            </w:pPr>
            <w:r>
              <w:rPr>
                <w:b/>
              </w:rPr>
              <w:t>T</w:t>
            </w:r>
            <w:r w:rsidR="00041C30" w:rsidRPr="00041C30">
              <w:rPr>
                <w:b/>
              </w:rPr>
              <w:t>ilpasning af Tinglysning til BFE</w:t>
            </w:r>
            <w:r>
              <w:rPr>
                <w:b/>
              </w:rPr>
              <w:t xml:space="preserve"> (</w:t>
            </w:r>
            <w:r w:rsidR="005A077F">
              <w:rPr>
                <w:b/>
              </w:rPr>
              <w:t>TLR</w:t>
            </w:r>
            <w:r>
              <w:rPr>
                <w:b/>
              </w:rPr>
              <w:t>) – Forkortet ”eTL”.</w:t>
            </w:r>
          </w:p>
          <w:p w:rsidR="00041C30" w:rsidRDefault="00041C30" w:rsidP="00F73BAB">
            <w:r w:rsidRPr="00FE48A0">
              <w:t>Tilpasning af tinglysningssystemet til at kunne identificere samlede faste ejendomme, ejerlejligheder og bygninger på fremmed grund ved BFE-n</w:t>
            </w:r>
            <w:r>
              <w:t>ummer.</w:t>
            </w:r>
          </w:p>
        </w:tc>
      </w:tr>
      <w:tr w:rsidR="00041C30" w:rsidTr="00F73BAB">
        <w:tc>
          <w:tcPr>
            <w:tcW w:w="534" w:type="dxa"/>
          </w:tcPr>
          <w:p w:rsidR="00041C30" w:rsidRPr="00CD518A" w:rsidRDefault="00041C30" w:rsidP="00F73BAB">
            <w:pPr>
              <w:spacing w:before="120"/>
              <w:rPr>
                <w:b/>
              </w:rPr>
            </w:pPr>
            <w:r w:rsidRPr="00CD518A">
              <w:rPr>
                <w:b/>
              </w:rPr>
              <w:t>P</w:t>
            </w:r>
            <w:r w:rsidR="00D650B5">
              <w:rPr>
                <w:b/>
              </w:rPr>
              <w:t>5</w:t>
            </w:r>
          </w:p>
        </w:tc>
        <w:tc>
          <w:tcPr>
            <w:tcW w:w="8111" w:type="dxa"/>
          </w:tcPr>
          <w:p w:rsidR="00041C30" w:rsidRPr="00041C30" w:rsidRDefault="00041C30" w:rsidP="00041C30">
            <w:pPr>
              <w:spacing w:before="120"/>
              <w:rPr>
                <w:b/>
              </w:rPr>
            </w:pPr>
            <w:r w:rsidRPr="00041C30">
              <w:rPr>
                <w:b/>
              </w:rPr>
              <w:t>Udstilling af ejendomsvurdering (SKAT)</w:t>
            </w:r>
            <w:r w:rsidR="00D650B5">
              <w:rPr>
                <w:b/>
              </w:rPr>
              <w:t xml:space="preserve"> – Forkortet ”VUR”.</w:t>
            </w:r>
          </w:p>
          <w:p w:rsidR="00041C30" w:rsidRDefault="00041C30" w:rsidP="00041C30">
            <w:r>
              <w:t>Tilpasning af SKAT’s ejendomsvurdering, således denne vurdering udstilles via den fællesoffentlige datafordeler.</w:t>
            </w:r>
          </w:p>
        </w:tc>
      </w:tr>
      <w:tr w:rsidR="00D650B5" w:rsidTr="00F73BAB">
        <w:tc>
          <w:tcPr>
            <w:tcW w:w="534" w:type="dxa"/>
          </w:tcPr>
          <w:p w:rsidR="00D650B5" w:rsidRPr="00CD518A" w:rsidRDefault="00D650B5" w:rsidP="00F73BAB">
            <w:pPr>
              <w:spacing w:before="120"/>
              <w:rPr>
                <w:b/>
              </w:rPr>
            </w:pPr>
            <w:r>
              <w:rPr>
                <w:b/>
              </w:rPr>
              <w:t>P6</w:t>
            </w:r>
          </w:p>
        </w:tc>
        <w:tc>
          <w:tcPr>
            <w:tcW w:w="8111" w:type="dxa"/>
          </w:tcPr>
          <w:p w:rsidR="00D650B5" w:rsidRPr="00D650B5" w:rsidRDefault="00D650B5" w:rsidP="00F73BAB">
            <w:pPr>
              <w:spacing w:before="120"/>
              <w:rPr>
                <w:b/>
              </w:rPr>
            </w:pPr>
            <w:r w:rsidRPr="00D650B5">
              <w:rPr>
                <w:b/>
              </w:rPr>
              <w:t>Udvikling og idriftsættelse af nye økonomiløsninger (KL/KOMBIT)</w:t>
            </w:r>
            <w:r>
              <w:rPr>
                <w:b/>
              </w:rPr>
              <w:t xml:space="preserve"> – Forkortet ”ØKO”.</w:t>
            </w:r>
          </w:p>
          <w:p w:rsidR="00D650B5" w:rsidRDefault="00D650B5" w:rsidP="00D650B5">
            <w:r>
              <w:t>Udvikling og idriftsættelse af kommunale løsninger til ejendomsskat, ejendomsbidrag og opkrævningsejendomme til afløsning af nuværende funktionalitet i ESR.</w:t>
            </w:r>
          </w:p>
        </w:tc>
      </w:tr>
      <w:tr w:rsidR="00D650B5" w:rsidTr="00F73BAB">
        <w:tc>
          <w:tcPr>
            <w:tcW w:w="534" w:type="dxa"/>
          </w:tcPr>
          <w:p w:rsidR="00D650B5" w:rsidRPr="00CD518A" w:rsidRDefault="00D650B5" w:rsidP="00F73BAB">
            <w:pPr>
              <w:spacing w:before="120"/>
              <w:rPr>
                <w:b/>
              </w:rPr>
            </w:pPr>
            <w:r w:rsidRPr="00CD518A">
              <w:rPr>
                <w:b/>
              </w:rPr>
              <w:t>P</w:t>
            </w:r>
            <w:r>
              <w:rPr>
                <w:b/>
              </w:rPr>
              <w:t>7</w:t>
            </w:r>
          </w:p>
        </w:tc>
        <w:tc>
          <w:tcPr>
            <w:tcW w:w="8111" w:type="dxa"/>
          </w:tcPr>
          <w:p w:rsidR="00D650B5" w:rsidRPr="00D650B5" w:rsidRDefault="00D650B5" w:rsidP="00F73BAB">
            <w:pPr>
              <w:spacing w:before="120"/>
              <w:rPr>
                <w:b/>
              </w:rPr>
            </w:pPr>
            <w:r w:rsidRPr="00D650B5">
              <w:rPr>
                <w:b/>
              </w:rPr>
              <w:t xml:space="preserve">Tilpasning af ESR </w:t>
            </w:r>
            <w:r>
              <w:rPr>
                <w:b/>
              </w:rPr>
              <w:t>til Matrikel og Ejerfortegnelse– Forkortet ”ESR”.</w:t>
            </w:r>
          </w:p>
          <w:p w:rsidR="00D650B5" w:rsidRDefault="00D650B5" w:rsidP="0080099A">
            <w:r>
              <w:t xml:space="preserve">Tilpasninger i ESR således dette register indeholder Bestemt fast ejendom hhv. ophører med at </w:t>
            </w:r>
            <w:r w:rsidR="0080099A">
              <w:t xml:space="preserve">være master for BPFG samt </w:t>
            </w:r>
            <w:r>
              <w:t>”aktuel ejer” og administratoroplysninger.</w:t>
            </w:r>
          </w:p>
        </w:tc>
      </w:tr>
      <w:tr w:rsidR="0073321F" w:rsidTr="004B3BFA">
        <w:tc>
          <w:tcPr>
            <w:tcW w:w="534" w:type="dxa"/>
          </w:tcPr>
          <w:p w:rsidR="0073321F" w:rsidRPr="00CD518A" w:rsidRDefault="00C10B3F" w:rsidP="0073321F">
            <w:pPr>
              <w:spacing w:before="120"/>
              <w:rPr>
                <w:b/>
              </w:rPr>
            </w:pPr>
            <w:r w:rsidRPr="00CD518A">
              <w:rPr>
                <w:b/>
              </w:rPr>
              <w:t>P</w:t>
            </w:r>
            <w:r w:rsidR="00D650B5">
              <w:rPr>
                <w:b/>
              </w:rPr>
              <w:t>8</w:t>
            </w:r>
          </w:p>
        </w:tc>
        <w:tc>
          <w:tcPr>
            <w:tcW w:w="8111" w:type="dxa"/>
          </w:tcPr>
          <w:p w:rsidR="0073321F" w:rsidRPr="00D650B5" w:rsidRDefault="00C10B3F" w:rsidP="0073321F">
            <w:pPr>
              <w:spacing w:before="120"/>
              <w:rPr>
                <w:b/>
              </w:rPr>
            </w:pPr>
            <w:r w:rsidRPr="00D650B5">
              <w:rPr>
                <w:b/>
              </w:rPr>
              <w:t xml:space="preserve">Tilpasning af </w:t>
            </w:r>
            <w:r w:rsidR="00D650B5">
              <w:rPr>
                <w:b/>
              </w:rPr>
              <w:t>OIS</w:t>
            </w:r>
            <w:r w:rsidRPr="00D650B5">
              <w:rPr>
                <w:b/>
              </w:rPr>
              <w:t xml:space="preserve"> til </w:t>
            </w:r>
            <w:r w:rsidR="00D650B5">
              <w:rPr>
                <w:b/>
              </w:rPr>
              <w:t>ny BBR/DAR struktur</w:t>
            </w:r>
            <w:r w:rsidR="005A077F">
              <w:rPr>
                <w:b/>
              </w:rPr>
              <w:t xml:space="preserve">(MBBL) </w:t>
            </w:r>
            <w:r w:rsidR="00D650B5">
              <w:rPr>
                <w:b/>
              </w:rPr>
              <w:t>– Forkortet ”OIS”.</w:t>
            </w:r>
          </w:p>
          <w:p w:rsidR="00A835EE" w:rsidRDefault="0073321F" w:rsidP="0080099A">
            <w:r>
              <w:t>Tilpasning</w:t>
            </w:r>
            <w:r w:rsidR="00C10B3F">
              <w:t xml:space="preserve">er i </w:t>
            </w:r>
            <w:r w:rsidR="00D650B5">
              <w:t>OIS</w:t>
            </w:r>
            <w:r w:rsidR="00C10B3F">
              <w:t xml:space="preserve"> således </w:t>
            </w:r>
            <w:r w:rsidR="004B3BFA">
              <w:t xml:space="preserve">dette register </w:t>
            </w:r>
            <w:r w:rsidR="0080099A">
              <w:t>fortsat kan understøtte de nuværende brugere når BBR overgår til BFE-nummer i stedet for ejendomsnummer hhv. til udskilning af adresser i BBR til et selvstændigt adresseregister (DAR)</w:t>
            </w:r>
            <w:r w:rsidR="00A835EE">
              <w:t>.</w:t>
            </w:r>
          </w:p>
        </w:tc>
      </w:tr>
    </w:tbl>
    <w:p w:rsidR="00384D97" w:rsidRDefault="00384D97" w:rsidP="0073321F"/>
    <w:p w:rsidR="0073321F" w:rsidRDefault="0073321F" w:rsidP="0073321F">
      <w:pPr>
        <w:pStyle w:val="Overskrift2"/>
        <w:rPr>
          <w:lang w:val="da-DK"/>
        </w:rPr>
      </w:pPr>
      <w:bookmarkStart w:id="42" w:name="_Toc353390026"/>
      <w:bookmarkStart w:id="43" w:name="_Toc401161370"/>
      <w:r>
        <w:rPr>
          <w:lang w:val="da-DK"/>
        </w:rPr>
        <w:lastRenderedPageBreak/>
        <w:t>Implementeringsplanens struktur</w:t>
      </w:r>
      <w:bookmarkEnd w:id="42"/>
      <w:bookmarkEnd w:id="43"/>
    </w:p>
    <w:p w:rsidR="0073321F" w:rsidRDefault="0073321F" w:rsidP="0073321F">
      <w:r>
        <w:t>Implementeringsplanen opbygges af tre hovedelementer:</w:t>
      </w:r>
    </w:p>
    <w:p w:rsidR="0073321F" w:rsidRDefault="0073321F" w:rsidP="0073321F">
      <w:pPr>
        <w:pStyle w:val="Listeafsnit"/>
        <w:numPr>
          <w:ilvl w:val="0"/>
          <w:numId w:val="13"/>
        </w:numPr>
      </w:pPr>
      <w:r>
        <w:t>Kalendermæssig placering af de ovenfor nævnte projekter.</w:t>
      </w:r>
    </w:p>
    <w:p w:rsidR="0073321F" w:rsidRDefault="0073321F" w:rsidP="0073321F">
      <w:pPr>
        <w:pStyle w:val="Listeafsnit"/>
        <w:numPr>
          <w:ilvl w:val="0"/>
          <w:numId w:val="13"/>
        </w:numPr>
      </w:pPr>
      <w:r>
        <w:t>Styringsaktiviteter på delprogramniveau.</w:t>
      </w:r>
    </w:p>
    <w:p w:rsidR="0073321F" w:rsidRDefault="0073321F" w:rsidP="0073321F">
      <w:pPr>
        <w:pStyle w:val="Listeafsnit"/>
        <w:numPr>
          <w:ilvl w:val="0"/>
          <w:numId w:val="13"/>
        </w:numPr>
      </w:pPr>
      <w:r>
        <w:t xml:space="preserve">En række fælles </w:t>
      </w:r>
      <w:r w:rsidR="002D41B7">
        <w:t>hoved</w:t>
      </w:r>
      <w:r>
        <w:t>milepæle på tværs af de enkelte delprojekter.</w:t>
      </w:r>
    </w:p>
    <w:p w:rsidR="0073321F" w:rsidRDefault="002D41B7" w:rsidP="00A978EC">
      <w:pPr>
        <w:spacing w:before="120" w:after="120"/>
      </w:pPr>
      <w:r>
        <w:t>Hovedm</w:t>
      </w:r>
      <w:r w:rsidR="0073321F">
        <w:t>ilepæle på</w:t>
      </w:r>
      <w:r>
        <w:t xml:space="preserve"> delprogramniveau er</w:t>
      </w:r>
      <w:r w:rsidR="0073321F">
        <w:t xml:space="preserve"> beslutningspunkter, hvor delprogrammets fremdrift ud fra foreliggende produkter kan vurderes på tværs af de enkelte projekter i delprogrammet. Til hver </w:t>
      </w:r>
      <w:r>
        <w:t>hoved</w:t>
      </w:r>
      <w:r w:rsidR="0073321F">
        <w:t xml:space="preserve">milepæl er defineret de produkter, der skal foreligge i en given kvalitet. </w:t>
      </w:r>
      <w:r>
        <w:t>Hovedm</w:t>
      </w:r>
      <w:r w:rsidR="0073321F">
        <w:t>ilepælene sammenkæder forventede foreliggende produkter, kvalitet</w:t>
      </w:r>
      <w:r w:rsidR="00D41A60">
        <w:t>en</w:t>
      </w:r>
      <w:r w:rsidR="0073321F">
        <w:t xml:space="preserve"> af disse samt den kalendermæssige placering heraf. Derfor er veldefinerede </w:t>
      </w:r>
      <w:r>
        <w:t>hoved</w:t>
      </w:r>
      <w:r w:rsidR="0073321F">
        <w:t>milepæle væsentlige i måling af delprogrammets samlede fremdrift.</w:t>
      </w:r>
    </w:p>
    <w:p w:rsidR="0073321F" w:rsidRDefault="0073321F" w:rsidP="00A978EC">
      <w:pPr>
        <w:spacing w:after="120"/>
      </w:pPr>
      <w:r>
        <w:t xml:space="preserve">Passage af en </w:t>
      </w:r>
      <w:r w:rsidR="002D41B7">
        <w:t>hoved</w:t>
      </w:r>
      <w:r>
        <w:t>milepæl skal forberedes af delprogrammets sekretariat og projektlederforum, bl.a. ved at udarbejde et beslutningsgrundlag til delprogrammets styregruppe, som på baggrund heraf træffer beslutning om projektets videre forløb. Beslutningen omfatter delprogrammets generelle status, dets udnyttelse af ressourcer og opnåede resultater samt forven</w:t>
      </w:r>
      <w:r w:rsidR="00A978EC">
        <w:t>tninger til det videre forløb.</w:t>
      </w:r>
    </w:p>
    <w:p w:rsidR="00A978EC" w:rsidRDefault="00A978EC" w:rsidP="00A978EC">
      <w:r w:rsidRPr="00A978EC">
        <w:t>Udover</w:t>
      </w:r>
      <w:r>
        <w:t xml:space="preserve"> implementeringsplanens hovedmilepæle vil der i forhold til de enkelte projekter være tale om minimum to detaljeringsniveauer:</w:t>
      </w:r>
    </w:p>
    <w:p w:rsidR="00A978EC" w:rsidRDefault="00A978EC" w:rsidP="00A978EC">
      <w:pPr>
        <w:pStyle w:val="Listeafsnit"/>
        <w:numPr>
          <w:ilvl w:val="0"/>
          <w:numId w:val="31"/>
        </w:numPr>
        <w:spacing w:before="60" w:after="120"/>
        <w:ind w:left="765" w:hanging="357"/>
        <w:contextualSpacing w:val="0"/>
        <w:jc w:val="left"/>
      </w:pPr>
      <w:r>
        <w:t xml:space="preserve">Detaljerede </w:t>
      </w:r>
      <w:r w:rsidR="004266B3">
        <w:t>m</w:t>
      </w:r>
      <w:r>
        <w:t xml:space="preserve">ilepæle og arbejdspakker af interesse for delprogrammet – dels for at </w:t>
      </w:r>
      <w:proofErr w:type="gramStart"/>
      <w:r>
        <w:t>kunne</w:t>
      </w:r>
      <w:proofErr w:type="gramEnd"/>
      <w:r>
        <w:t xml:space="preserve"> følge op på fremdriften på delprogramniveau, dels for at kunne skabe overblik over de tværgående sammenhænge mellem de enkelte projekter og dertil hørende produkter/leverancer.</w:t>
      </w:r>
      <w:r>
        <w:br/>
        <w:t>Disse arbejdspakker og milepæle er indlagt i delprogrammets MS Project plan med de relevante afhængigheder og tidsmæssige udstrækninger.</w:t>
      </w:r>
      <w:r w:rsidR="004266B3">
        <w:br/>
        <w:t>Elementer herfra er gengivet i kapitel 4 i forbindelse med en beskrivelse af de enkelte projekter.</w:t>
      </w:r>
      <w:r>
        <w:t xml:space="preserve"> </w:t>
      </w:r>
    </w:p>
    <w:p w:rsidR="00887CB8" w:rsidRPr="005D19C0" w:rsidRDefault="004266B3" w:rsidP="0073321F">
      <w:pPr>
        <w:pStyle w:val="Listeafsnit"/>
        <w:numPr>
          <w:ilvl w:val="0"/>
          <w:numId w:val="31"/>
        </w:numPr>
        <w:spacing w:before="60" w:after="120"/>
        <w:ind w:left="765" w:hanging="357"/>
        <w:contextualSpacing w:val="0"/>
        <w:jc w:val="left"/>
      </w:pPr>
      <w:r>
        <w:t>Detaljerede milepæle og arbejdspakker af intern interesse for det enkelte projekt.</w:t>
      </w:r>
      <w:r>
        <w:br/>
      </w:r>
      <w:r w:rsidR="0073321F" w:rsidRPr="00A978EC">
        <w:t xml:space="preserve">De enkelte projekter </w:t>
      </w:r>
      <w:r>
        <w:t xml:space="preserve">vil – udover de fælles på delprogramniveau - </w:t>
      </w:r>
      <w:r w:rsidR="0073321F" w:rsidRPr="00A978EC">
        <w:t xml:space="preserve">have behov for en række interne milepæle </w:t>
      </w:r>
      <w:r>
        <w:t xml:space="preserve">og arbejdspakker </w:t>
      </w:r>
      <w:r w:rsidR="0073321F" w:rsidRPr="00A978EC">
        <w:t>til styring af fremdriften i projekt</w:t>
      </w:r>
      <w:r>
        <w:t>et</w:t>
      </w:r>
      <w:r w:rsidR="0073321F" w:rsidRPr="00A978EC">
        <w:t xml:space="preserve">. </w:t>
      </w:r>
      <w:r>
        <w:br/>
      </w:r>
      <w:r w:rsidR="0073321F" w:rsidRPr="00A978EC">
        <w:t xml:space="preserve">Disse milepæle </w:t>
      </w:r>
      <w:r>
        <w:t>og arbejdspakker er</w:t>
      </w:r>
      <w:r w:rsidR="0073321F" w:rsidRPr="00A978EC">
        <w:t xml:space="preserve"> overladt til den enkelte aftalepartner og derfor ikke medtaget i den fælles implementeringsplan.</w:t>
      </w:r>
      <w:r w:rsidR="0073321F">
        <w:t xml:space="preserve"> </w:t>
      </w:r>
    </w:p>
    <w:p w:rsidR="0073321F" w:rsidRDefault="0073321F" w:rsidP="0073321F">
      <w:pPr>
        <w:pStyle w:val="Overskrift2"/>
        <w:rPr>
          <w:lang w:val="da-DK"/>
        </w:rPr>
      </w:pPr>
      <w:bookmarkStart w:id="44" w:name="_Toc353390027"/>
      <w:bookmarkStart w:id="45" w:name="_Toc401161371"/>
      <w:r>
        <w:rPr>
          <w:lang w:val="da-DK"/>
        </w:rPr>
        <w:lastRenderedPageBreak/>
        <w:t>Overblik over i</w:t>
      </w:r>
      <w:r w:rsidRPr="00E722A6">
        <w:rPr>
          <w:lang w:val="da-DK"/>
        </w:rPr>
        <w:t>mplementeringsplan</w:t>
      </w:r>
      <w:r>
        <w:rPr>
          <w:lang w:val="da-DK"/>
        </w:rPr>
        <w:t>en</w:t>
      </w:r>
      <w:bookmarkEnd w:id="44"/>
      <w:bookmarkEnd w:id="45"/>
    </w:p>
    <w:p w:rsidR="00C6006B" w:rsidRDefault="0073321F" w:rsidP="004A79B7">
      <w:pPr>
        <w:keepNext/>
        <w:spacing w:after="240"/>
      </w:pPr>
      <w:r>
        <w:t xml:space="preserve">Implementeringsplanen er på delprogramniveau opbygget af </w:t>
      </w:r>
      <w:r w:rsidR="00830862">
        <w:t xml:space="preserve">8 projekter, af projektaktiviteter på delprogramniveau samt af en række fælles </w:t>
      </w:r>
      <w:r w:rsidR="004B3BFA">
        <w:t>milepæle jf. nedenstående figur:</w:t>
      </w:r>
    </w:p>
    <w:p w:rsidR="004A79B7" w:rsidRDefault="004A79B7" w:rsidP="00794826">
      <w:pPr>
        <w:keepNext/>
        <w:spacing w:after="120"/>
      </w:pPr>
      <w:r>
        <w:rPr>
          <w:noProof/>
        </w:rPr>
        <w:drawing>
          <wp:inline distT="0" distB="0" distL="0" distR="0">
            <wp:extent cx="5486400" cy="2811600"/>
            <wp:effectExtent l="0" t="0" r="0" b="825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1 Hovedtidsplan.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2811600"/>
                    </a:xfrm>
                    <a:prstGeom prst="rect">
                      <a:avLst/>
                    </a:prstGeom>
                  </pic:spPr>
                </pic:pic>
              </a:graphicData>
            </a:graphic>
          </wp:inline>
        </w:drawing>
      </w:r>
    </w:p>
    <w:p w:rsidR="00A6748A" w:rsidRDefault="0073321F" w:rsidP="004266B3">
      <w:pPr>
        <w:pStyle w:val="Billedtekst"/>
        <w:spacing w:before="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8</w:t>
      </w:r>
      <w:r w:rsidRPr="00140F7B">
        <w:rPr>
          <w:b w:val="0"/>
        </w:rPr>
        <w:fldChar w:fldCharType="end"/>
      </w:r>
      <w:r>
        <w:rPr>
          <w:b w:val="0"/>
        </w:rPr>
        <w:t>.</w:t>
      </w:r>
      <w:r w:rsidRPr="00140F7B">
        <w:rPr>
          <w:b w:val="0"/>
        </w:rPr>
        <w:t xml:space="preserve"> </w:t>
      </w:r>
      <w:r>
        <w:rPr>
          <w:b w:val="0"/>
        </w:rPr>
        <w:t>Overblik over delprogrammets implementeringsplan og fælles milepæle.</w:t>
      </w:r>
    </w:p>
    <w:p w:rsidR="00714A76" w:rsidRPr="00714A76" w:rsidRDefault="00714A76" w:rsidP="00794826"/>
    <w:p w:rsidR="00714A76" w:rsidRPr="00714A76" w:rsidRDefault="00714A76" w:rsidP="00714A76">
      <w:pPr>
        <w:pBdr>
          <w:top w:val="single" w:sz="4" w:space="1" w:color="auto"/>
          <w:left w:val="single" w:sz="4" w:space="4" w:color="auto"/>
          <w:bottom w:val="single" w:sz="4" w:space="1" w:color="auto"/>
          <w:right w:val="single" w:sz="4" w:space="4" w:color="auto"/>
        </w:pBdr>
        <w:spacing w:before="120"/>
        <w:rPr>
          <w:highlight w:val="yellow"/>
        </w:rPr>
      </w:pPr>
      <w:r w:rsidRPr="00714A76">
        <w:rPr>
          <w:highlight w:val="yellow"/>
        </w:rPr>
        <w:t>NB! Ovenstående plan er foreløbig med forbehold for justeringer fra de enkelte projekter.</w:t>
      </w:r>
    </w:p>
    <w:p w:rsidR="00714A76" w:rsidRDefault="00714A76" w:rsidP="00714A76">
      <w:pPr>
        <w:pBdr>
          <w:top w:val="single" w:sz="4" w:space="1" w:color="auto"/>
          <w:left w:val="single" w:sz="4" w:space="4" w:color="auto"/>
          <w:bottom w:val="single" w:sz="4" w:space="1" w:color="auto"/>
          <w:right w:val="single" w:sz="4" w:space="4" w:color="auto"/>
        </w:pBdr>
        <w:spacing w:after="120"/>
      </w:pPr>
      <w:r w:rsidRPr="00714A76">
        <w:rPr>
          <w:highlight w:val="yellow"/>
        </w:rPr>
        <w:t>Der arbejdes stadig med planer og sammenhænge, som kan påvirke ovenstående.</w:t>
      </w:r>
    </w:p>
    <w:p w:rsidR="00714A76" w:rsidRDefault="00714A76" w:rsidP="007D45D7">
      <w:pPr>
        <w:spacing w:after="120"/>
      </w:pPr>
    </w:p>
    <w:p w:rsidR="00A6748A" w:rsidRDefault="00A6748A" w:rsidP="007D45D7">
      <w:pPr>
        <w:spacing w:after="120"/>
      </w:pPr>
      <w:r>
        <w:t xml:space="preserve">Som en naturlig konsekvens af de gensidige afhængigheder mellem </w:t>
      </w:r>
      <w:proofErr w:type="gramStart"/>
      <w:r>
        <w:t>de  forskellige</w:t>
      </w:r>
      <w:proofErr w:type="gramEnd"/>
      <w:r>
        <w:t xml:space="preserve"> </w:t>
      </w:r>
      <w:r w:rsidR="00071AF9">
        <w:t>grunddata</w:t>
      </w:r>
      <w:r>
        <w:t xml:space="preserve">systemer, er der også </w:t>
      </w:r>
      <w:r w:rsidRPr="009A5AE5">
        <w:t>stor parallelitet omkring udvikling/tilretning af disse systemer</w:t>
      </w:r>
      <w:r>
        <w:t>,</w:t>
      </w:r>
      <w:r w:rsidRPr="009A5AE5">
        <w:t xml:space="preserve"> både ift. </w:t>
      </w:r>
      <w:proofErr w:type="gramStart"/>
      <w:r w:rsidRPr="009A5AE5">
        <w:t>afstemning af kravspecifikationer og snitfladespecifikationer og ift.</w:t>
      </w:r>
      <w:proofErr w:type="gramEnd"/>
      <w:r w:rsidRPr="009A5AE5">
        <w:t xml:space="preserve"> </w:t>
      </w:r>
      <w:proofErr w:type="gramStart"/>
      <w:r w:rsidRPr="009A5AE5">
        <w:t>tværgående test.</w:t>
      </w:r>
      <w:proofErr w:type="gramEnd"/>
      <w:r>
        <w:t xml:space="preserve"> </w:t>
      </w:r>
      <w:r w:rsidR="007D45D7">
        <w:t xml:space="preserve">Grunddatasystemerne </w:t>
      </w:r>
      <w:r>
        <w:t xml:space="preserve">skal </w:t>
      </w:r>
      <w:r w:rsidRPr="009A5AE5">
        <w:t>testes i en sammenhængende kontekst</w:t>
      </w:r>
      <w:r>
        <w:t xml:space="preserve">, der </w:t>
      </w:r>
      <w:r w:rsidRPr="009A5AE5">
        <w:t>omfatte</w:t>
      </w:r>
      <w:r>
        <w:t>r</w:t>
      </w:r>
      <w:r w:rsidRPr="009A5AE5">
        <w:t xml:space="preserve"> </w:t>
      </w:r>
      <w:r w:rsidR="004266B3">
        <w:t xml:space="preserve">tjenester på </w:t>
      </w:r>
      <w:r w:rsidRPr="009A5AE5">
        <w:t>Datafordeleren – uanset om de enkelte systemer idriftsættes forskudt eller samlet.</w:t>
      </w:r>
    </w:p>
    <w:p w:rsidR="007D45D7" w:rsidRDefault="007D45D7" w:rsidP="00A6748A">
      <w:r>
        <w:t>Hovedmilepæle uden for ejendomsdataprogrammet – konkret hovedmilepæle i adresseprogrammet (GD2) og Datafordeler projektet (GD7) er derfor væsentlige for den samlede implementeringsplan. Det drejer sig om følgende hovedmilepæle:</w:t>
      </w:r>
    </w:p>
    <w:p w:rsidR="007D45D7" w:rsidRDefault="007D45D7" w:rsidP="00A6748A"/>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6694"/>
      </w:tblGrid>
      <w:tr w:rsidR="007D45D7" w:rsidRPr="007D45D7" w:rsidTr="00F66487">
        <w:trPr>
          <w:cantSplit/>
        </w:trPr>
        <w:tc>
          <w:tcPr>
            <w:tcW w:w="675" w:type="dxa"/>
          </w:tcPr>
          <w:p w:rsidR="007D45D7" w:rsidRPr="007D45D7" w:rsidRDefault="007D45D7" w:rsidP="007D45D7">
            <w:pPr>
              <w:spacing w:before="120"/>
              <w:rPr>
                <w:b/>
              </w:rPr>
            </w:pPr>
            <w:r w:rsidRPr="007D45D7">
              <w:rPr>
                <w:b/>
              </w:rPr>
              <w:t>GD2</w:t>
            </w:r>
          </w:p>
        </w:tc>
        <w:tc>
          <w:tcPr>
            <w:tcW w:w="7970" w:type="dxa"/>
            <w:gridSpan w:val="2"/>
          </w:tcPr>
          <w:p w:rsidR="007D45D7" w:rsidRPr="007D45D7" w:rsidRDefault="007D45D7" w:rsidP="007D45D7">
            <w:pPr>
              <w:spacing w:before="120"/>
              <w:jc w:val="left"/>
              <w:rPr>
                <w:b/>
              </w:rPr>
            </w:pPr>
            <w:r w:rsidRPr="007D45D7">
              <w:rPr>
                <w:b/>
              </w:rPr>
              <w:t>Adresseprogrammet</w:t>
            </w:r>
          </w:p>
        </w:tc>
      </w:tr>
      <w:tr w:rsidR="007D45D7" w:rsidTr="00F66487">
        <w:trPr>
          <w:cantSplit/>
        </w:trPr>
        <w:tc>
          <w:tcPr>
            <w:tcW w:w="675" w:type="dxa"/>
          </w:tcPr>
          <w:p w:rsidR="007D45D7" w:rsidRDefault="007D45D7" w:rsidP="007D45D7">
            <w:pPr>
              <w:spacing w:before="40" w:after="40"/>
            </w:pPr>
          </w:p>
        </w:tc>
        <w:tc>
          <w:tcPr>
            <w:tcW w:w="1276" w:type="dxa"/>
          </w:tcPr>
          <w:p w:rsidR="007D45D7" w:rsidRDefault="007D45D7" w:rsidP="007D45D7">
            <w:pPr>
              <w:spacing w:before="40" w:after="40"/>
              <w:jc w:val="left"/>
            </w:pPr>
            <w:r>
              <w:t>Milepæl x</w:t>
            </w:r>
          </w:p>
        </w:tc>
        <w:tc>
          <w:tcPr>
            <w:tcW w:w="6694" w:type="dxa"/>
          </w:tcPr>
          <w:p w:rsidR="007D45D7" w:rsidRDefault="007D45D7" w:rsidP="007D45D7">
            <w:pPr>
              <w:spacing w:before="40" w:after="40"/>
              <w:jc w:val="left"/>
            </w:pPr>
            <w:r>
              <w:t>&lt;navngivning og koret beskrivelse&gt;</w:t>
            </w:r>
          </w:p>
        </w:tc>
      </w:tr>
      <w:tr w:rsidR="007D45D7" w:rsidTr="00F66487">
        <w:trPr>
          <w:cantSplit/>
        </w:trPr>
        <w:tc>
          <w:tcPr>
            <w:tcW w:w="675" w:type="dxa"/>
          </w:tcPr>
          <w:p w:rsidR="007D45D7" w:rsidRDefault="007D45D7" w:rsidP="007D45D7">
            <w:pPr>
              <w:spacing w:before="40" w:after="40"/>
            </w:pPr>
          </w:p>
        </w:tc>
        <w:tc>
          <w:tcPr>
            <w:tcW w:w="1276" w:type="dxa"/>
          </w:tcPr>
          <w:p w:rsidR="007D45D7" w:rsidRDefault="007D45D7" w:rsidP="007D45D7">
            <w:pPr>
              <w:spacing w:before="40" w:after="40"/>
              <w:jc w:val="left"/>
            </w:pPr>
            <w:r>
              <w:t>Milepæl x</w:t>
            </w:r>
          </w:p>
        </w:tc>
        <w:tc>
          <w:tcPr>
            <w:tcW w:w="6694" w:type="dxa"/>
          </w:tcPr>
          <w:p w:rsidR="007D45D7" w:rsidRDefault="007D45D7" w:rsidP="007D45D7">
            <w:pPr>
              <w:spacing w:before="40" w:after="40"/>
              <w:jc w:val="left"/>
            </w:pPr>
            <w:r>
              <w:t>&lt;navngivning og koret beskrivelse&gt;</w:t>
            </w:r>
          </w:p>
        </w:tc>
      </w:tr>
      <w:tr w:rsidR="007D45D7" w:rsidRPr="007D45D7" w:rsidTr="00B45CF1">
        <w:trPr>
          <w:cantSplit/>
        </w:trPr>
        <w:tc>
          <w:tcPr>
            <w:tcW w:w="675" w:type="dxa"/>
          </w:tcPr>
          <w:p w:rsidR="007D45D7" w:rsidRPr="007D45D7" w:rsidRDefault="007D45D7" w:rsidP="00F66487">
            <w:pPr>
              <w:spacing w:before="240"/>
              <w:rPr>
                <w:b/>
              </w:rPr>
            </w:pPr>
            <w:r w:rsidRPr="007D45D7">
              <w:rPr>
                <w:b/>
              </w:rPr>
              <w:t>GD</w:t>
            </w:r>
            <w:r>
              <w:rPr>
                <w:b/>
              </w:rPr>
              <w:t>7</w:t>
            </w:r>
          </w:p>
        </w:tc>
        <w:tc>
          <w:tcPr>
            <w:tcW w:w="7970" w:type="dxa"/>
            <w:gridSpan w:val="2"/>
          </w:tcPr>
          <w:p w:rsidR="007D45D7" w:rsidRPr="007D45D7" w:rsidRDefault="007D45D7" w:rsidP="00F66487">
            <w:pPr>
              <w:spacing w:before="240"/>
              <w:jc w:val="left"/>
              <w:rPr>
                <w:b/>
              </w:rPr>
            </w:pPr>
            <w:r>
              <w:rPr>
                <w:b/>
              </w:rPr>
              <w:t>Datafordeler</w:t>
            </w:r>
            <w:r w:rsidR="00F66487">
              <w:rPr>
                <w:b/>
              </w:rPr>
              <w:t xml:space="preserve"> </w:t>
            </w:r>
            <w:r>
              <w:rPr>
                <w:b/>
              </w:rPr>
              <w:t>projektet</w:t>
            </w:r>
          </w:p>
        </w:tc>
      </w:tr>
      <w:tr w:rsidR="00F66487" w:rsidTr="00B45CF1">
        <w:trPr>
          <w:cantSplit/>
        </w:trPr>
        <w:tc>
          <w:tcPr>
            <w:tcW w:w="675" w:type="dxa"/>
          </w:tcPr>
          <w:p w:rsidR="007D45D7" w:rsidRDefault="007D45D7" w:rsidP="00354DE7">
            <w:pPr>
              <w:spacing w:before="40" w:after="40"/>
            </w:pPr>
          </w:p>
        </w:tc>
        <w:tc>
          <w:tcPr>
            <w:tcW w:w="1276" w:type="dxa"/>
          </w:tcPr>
          <w:p w:rsidR="007D45D7" w:rsidRPr="00F66487" w:rsidRDefault="007D45D7" w:rsidP="007D45D7">
            <w:pPr>
              <w:spacing w:before="40" w:after="40"/>
              <w:jc w:val="left"/>
              <w:rPr>
                <w:b/>
              </w:rPr>
            </w:pPr>
            <w:r w:rsidRPr="00F66487">
              <w:rPr>
                <w:b/>
              </w:rPr>
              <w:t>Milepæl 1:</w:t>
            </w:r>
          </w:p>
        </w:tc>
        <w:tc>
          <w:tcPr>
            <w:tcW w:w="6694" w:type="dxa"/>
          </w:tcPr>
          <w:p w:rsidR="007D45D7" w:rsidRDefault="007D45D7" w:rsidP="00F66487">
            <w:pPr>
              <w:spacing w:before="40" w:after="40"/>
              <w:jc w:val="left"/>
            </w:pPr>
            <w:r w:rsidRPr="00F66487">
              <w:rPr>
                <w:b/>
              </w:rPr>
              <w:t>Referenceimplementering gennemført.</w:t>
            </w:r>
            <w:r w:rsidR="00F66487">
              <w:br/>
              <w:t xml:space="preserve">Registerplatform og Geodataplatform er etableret, således at GD1 projekterne kan igangsætte deres udvikling af tjenester mv. på Datafordeleren. </w:t>
            </w:r>
          </w:p>
        </w:tc>
      </w:tr>
      <w:tr w:rsidR="00F66487" w:rsidTr="00B45CF1">
        <w:trPr>
          <w:cantSplit/>
        </w:trPr>
        <w:tc>
          <w:tcPr>
            <w:tcW w:w="675" w:type="dxa"/>
          </w:tcPr>
          <w:p w:rsidR="007D45D7" w:rsidRDefault="007D45D7" w:rsidP="00354DE7">
            <w:pPr>
              <w:spacing w:before="40" w:after="40"/>
            </w:pPr>
          </w:p>
        </w:tc>
        <w:tc>
          <w:tcPr>
            <w:tcW w:w="1276" w:type="dxa"/>
          </w:tcPr>
          <w:p w:rsidR="007D45D7" w:rsidRPr="00F66487" w:rsidRDefault="00F66487" w:rsidP="007D45D7">
            <w:pPr>
              <w:spacing w:before="40" w:after="40"/>
              <w:jc w:val="left"/>
              <w:rPr>
                <w:b/>
              </w:rPr>
            </w:pPr>
            <w:r>
              <w:rPr>
                <w:b/>
              </w:rPr>
              <w:t>Milepæl 2:</w:t>
            </w:r>
          </w:p>
        </w:tc>
        <w:tc>
          <w:tcPr>
            <w:tcW w:w="6694" w:type="dxa"/>
          </w:tcPr>
          <w:p w:rsidR="007D45D7" w:rsidRDefault="00F66487" w:rsidP="00F66487">
            <w:pPr>
              <w:spacing w:before="40" w:after="40"/>
              <w:jc w:val="left"/>
            </w:pPr>
            <w:r w:rsidRPr="00F66487">
              <w:rPr>
                <w:b/>
              </w:rPr>
              <w:t>Tjenester til brug for GD1 grunddataregistre klarmeldt.</w:t>
            </w:r>
            <w:r>
              <w:br/>
              <w:t>De specificerede tjenester er udviklet og testet af DAF leverandør klar til brug i snitfladetest i GD1.</w:t>
            </w:r>
          </w:p>
        </w:tc>
      </w:tr>
      <w:tr w:rsidR="00F66487" w:rsidTr="00B45CF1">
        <w:trPr>
          <w:cantSplit/>
        </w:trPr>
        <w:tc>
          <w:tcPr>
            <w:tcW w:w="675" w:type="dxa"/>
          </w:tcPr>
          <w:p w:rsidR="007D45D7" w:rsidRDefault="007D45D7" w:rsidP="00354DE7">
            <w:pPr>
              <w:spacing w:before="40" w:after="40"/>
            </w:pPr>
          </w:p>
        </w:tc>
        <w:tc>
          <w:tcPr>
            <w:tcW w:w="1276" w:type="dxa"/>
          </w:tcPr>
          <w:p w:rsidR="007D45D7" w:rsidRPr="00F66487" w:rsidRDefault="00F66487" w:rsidP="007D45D7">
            <w:pPr>
              <w:spacing w:before="40" w:after="40"/>
              <w:jc w:val="left"/>
              <w:rPr>
                <w:b/>
              </w:rPr>
            </w:pPr>
            <w:r>
              <w:rPr>
                <w:b/>
              </w:rPr>
              <w:t>Milepæl 3:</w:t>
            </w:r>
          </w:p>
        </w:tc>
        <w:tc>
          <w:tcPr>
            <w:tcW w:w="6694" w:type="dxa"/>
          </w:tcPr>
          <w:p w:rsidR="007D45D7" w:rsidRDefault="00F66487" w:rsidP="00F66487">
            <w:pPr>
              <w:spacing w:before="40" w:after="40"/>
              <w:jc w:val="left"/>
            </w:pPr>
            <w:r w:rsidRPr="00B45CF1">
              <w:rPr>
                <w:b/>
              </w:rPr>
              <w:t>Idriftsættelse af DAR 1.0</w:t>
            </w:r>
            <w:r>
              <w:br/>
              <w:t>GD1 registrene kan nu i produktion hente adresser via Datafordeleren til brug i egne løsninger.</w:t>
            </w:r>
          </w:p>
        </w:tc>
      </w:tr>
      <w:tr w:rsidR="00F66487" w:rsidTr="00B45CF1">
        <w:trPr>
          <w:cantSplit/>
        </w:trPr>
        <w:tc>
          <w:tcPr>
            <w:tcW w:w="675" w:type="dxa"/>
          </w:tcPr>
          <w:p w:rsidR="00F66487" w:rsidRDefault="00F66487" w:rsidP="00354DE7">
            <w:pPr>
              <w:spacing w:before="40" w:after="40"/>
            </w:pPr>
          </w:p>
        </w:tc>
        <w:tc>
          <w:tcPr>
            <w:tcW w:w="1276" w:type="dxa"/>
          </w:tcPr>
          <w:p w:rsidR="00F66487" w:rsidRPr="00F66487" w:rsidRDefault="00F66487" w:rsidP="007D45D7">
            <w:pPr>
              <w:spacing w:before="40" w:after="40"/>
              <w:jc w:val="left"/>
              <w:rPr>
                <w:b/>
              </w:rPr>
            </w:pPr>
            <w:r>
              <w:rPr>
                <w:b/>
              </w:rPr>
              <w:t>Milepæl 4:</w:t>
            </w:r>
          </w:p>
        </w:tc>
        <w:tc>
          <w:tcPr>
            <w:tcW w:w="6694" w:type="dxa"/>
          </w:tcPr>
          <w:p w:rsidR="00F66487" w:rsidRDefault="00B45CF1" w:rsidP="00B45CF1">
            <w:pPr>
              <w:spacing w:before="40" w:after="40"/>
              <w:jc w:val="left"/>
            </w:pPr>
            <w:r w:rsidRPr="00B45CF1">
              <w:rPr>
                <w:b/>
              </w:rPr>
              <w:t xml:space="preserve">Matriklen (SFE) </w:t>
            </w:r>
            <w:proofErr w:type="gramStart"/>
            <w:r w:rsidRPr="00B45CF1">
              <w:rPr>
                <w:b/>
              </w:rPr>
              <w:t>idriftsat</w:t>
            </w:r>
            <w:proofErr w:type="gramEnd"/>
            <w:r w:rsidRPr="00B45CF1">
              <w:rPr>
                <w:b/>
              </w:rPr>
              <w:t xml:space="preserve"> på Datafordeleren.</w:t>
            </w:r>
            <w:r>
              <w:br/>
              <w:t>GD1 registre og andre anvendere kan nu i produktion hente Matriklens ejendomsoplysninger (SFE) via Datafordeleren.</w:t>
            </w:r>
          </w:p>
        </w:tc>
      </w:tr>
      <w:tr w:rsidR="00F66487" w:rsidTr="00B45CF1">
        <w:trPr>
          <w:cantSplit/>
        </w:trPr>
        <w:tc>
          <w:tcPr>
            <w:tcW w:w="675" w:type="dxa"/>
          </w:tcPr>
          <w:p w:rsidR="00F66487" w:rsidRDefault="00F66487" w:rsidP="00354DE7">
            <w:pPr>
              <w:spacing w:before="40" w:after="40"/>
            </w:pPr>
          </w:p>
        </w:tc>
        <w:tc>
          <w:tcPr>
            <w:tcW w:w="1276" w:type="dxa"/>
          </w:tcPr>
          <w:p w:rsidR="00F66487" w:rsidRPr="00F66487" w:rsidRDefault="00F66487" w:rsidP="007D45D7">
            <w:pPr>
              <w:spacing w:before="40" w:after="40"/>
              <w:jc w:val="left"/>
              <w:rPr>
                <w:b/>
              </w:rPr>
            </w:pPr>
            <w:r>
              <w:rPr>
                <w:b/>
              </w:rPr>
              <w:t>Milepæl 5:</w:t>
            </w:r>
          </w:p>
        </w:tc>
        <w:tc>
          <w:tcPr>
            <w:tcW w:w="6694" w:type="dxa"/>
          </w:tcPr>
          <w:p w:rsidR="00F66487" w:rsidRDefault="00B45CF1" w:rsidP="00B45CF1">
            <w:pPr>
              <w:spacing w:before="40" w:after="40"/>
              <w:jc w:val="left"/>
            </w:pPr>
            <w:r w:rsidRPr="00B45CF1">
              <w:rPr>
                <w:b/>
              </w:rPr>
              <w:t xml:space="preserve">Matriklen (Ejerlejligheder) </w:t>
            </w:r>
            <w:proofErr w:type="gramStart"/>
            <w:r w:rsidRPr="00B45CF1">
              <w:rPr>
                <w:b/>
              </w:rPr>
              <w:t>idriftsat</w:t>
            </w:r>
            <w:proofErr w:type="gramEnd"/>
            <w:r w:rsidRPr="00B45CF1">
              <w:rPr>
                <w:b/>
              </w:rPr>
              <w:t xml:space="preserve"> på Datafordeleren.</w:t>
            </w:r>
            <w:r>
              <w:br/>
              <w:t>GD1 registre og andre anvendere kan nu i produktion hente Matriklens ejendomsoplysninger (SFE og ejerlejligheder) via Datafordeleren.</w:t>
            </w:r>
          </w:p>
        </w:tc>
      </w:tr>
      <w:tr w:rsidR="00F66487" w:rsidTr="00B45CF1">
        <w:trPr>
          <w:cantSplit/>
        </w:trPr>
        <w:tc>
          <w:tcPr>
            <w:tcW w:w="675" w:type="dxa"/>
          </w:tcPr>
          <w:p w:rsidR="00F66487" w:rsidRDefault="00F66487" w:rsidP="00354DE7">
            <w:pPr>
              <w:spacing w:before="40" w:after="40"/>
            </w:pPr>
          </w:p>
        </w:tc>
        <w:tc>
          <w:tcPr>
            <w:tcW w:w="1276" w:type="dxa"/>
          </w:tcPr>
          <w:p w:rsidR="00F66487" w:rsidRPr="00F66487" w:rsidRDefault="00F66487" w:rsidP="007D45D7">
            <w:pPr>
              <w:spacing w:before="40" w:after="40"/>
              <w:jc w:val="left"/>
              <w:rPr>
                <w:b/>
              </w:rPr>
            </w:pPr>
            <w:r>
              <w:rPr>
                <w:b/>
              </w:rPr>
              <w:t>Milepæl 6:</w:t>
            </w:r>
          </w:p>
        </w:tc>
        <w:tc>
          <w:tcPr>
            <w:tcW w:w="6694" w:type="dxa"/>
          </w:tcPr>
          <w:p w:rsidR="00F66487" w:rsidRDefault="00B45CF1" w:rsidP="00B45CF1">
            <w:pPr>
              <w:spacing w:before="40" w:after="40"/>
              <w:jc w:val="left"/>
            </w:pPr>
            <w:r w:rsidRPr="00B45CF1">
              <w:rPr>
                <w:b/>
              </w:rPr>
              <w:t>Ejerfortegnelsen idriftsat på Datafordeleren.</w:t>
            </w:r>
            <w:r>
              <w:br/>
              <w:t>GD1 registre og andre anvendere kan nu i produktion hente ejer- og administratoroplysninger via Datafordeleren.</w:t>
            </w:r>
          </w:p>
        </w:tc>
      </w:tr>
      <w:tr w:rsidR="00F66487" w:rsidTr="00B45CF1">
        <w:trPr>
          <w:cantSplit/>
        </w:trPr>
        <w:tc>
          <w:tcPr>
            <w:tcW w:w="675" w:type="dxa"/>
          </w:tcPr>
          <w:p w:rsidR="00F66487" w:rsidRDefault="00F66487" w:rsidP="00354DE7">
            <w:pPr>
              <w:spacing w:before="40" w:after="40"/>
            </w:pPr>
          </w:p>
        </w:tc>
        <w:tc>
          <w:tcPr>
            <w:tcW w:w="1276" w:type="dxa"/>
          </w:tcPr>
          <w:p w:rsidR="00F66487" w:rsidRDefault="00F66487" w:rsidP="007D45D7">
            <w:pPr>
              <w:spacing w:before="40" w:after="40"/>
              <w:jc w:val="left"/>
              <w:rPr>
                <w:b/>
              </w:rPr>
            </w:pPr>
            <w:r>
              <w:rPr>
                <w:b/>
              </w:rPr>
              <w:t>Milepæl 7:</w:t>
            </w:r>
          </w:p>
        </w:tc>
        <w:tc>
          <w:tcPr>
            <w:tcW w:w="6694" w:type="dxa"/>
          </w:tcPr>
          <w:p w:rsidR="00F66487" w:rsidRDefault="00B45CF1" w:rsidP="00B45CF1">
            <w:pPr>
              <w:spacing w:before="40" w:after="40"/>
              <w:jc w:val="left"/>
            </w:pPr>
            <w:r w:rsidRPr="00B45CF1">
              <w:rPr>
                <w:b/>
              </w:rPr>
              <w:t xml:space="preserve">Matriklen (BPFG) samt BBR 2,0 </w:t>
            </w:r>
            <w:proofErr w:type="gramStart"/>
            <w:r w:rsidRPr="00B45CF1">
              <w:rPr>
                <w:b/>
              </w:rPr>
              <w:t>idriftsat</w:t>
            </w:r>
            <w:proofErr w:type="gramEnd"/>
            <w:r w:rsidRPr="00B45CF1">
              <w:rPr>
                <w:b/>
              </w:rPr>
              <w:t xml:space="preserve"> på Datafordeleren.</w:t>
            </w:r>
            <w:r>
              <w:br/>
              <w:t>GD1 registre og andre anvendere kan nu i produktion hente Matriklens ejendomsoplysninger (SFE, ejerlejligheder og BPFG) samt BBR oplysninger om bygninger og boliger via Datafordeleren.</w:t>
            </w:r>
          </w:p>
        </w:tc>
      </w:tr>
    </w:tbl>
    <w:p w:rsidR="004B3BFA" w:rsidRDefault="0073321F" w:rsidP="0073321F">
      <w:pPr>
        <w:pStyle w:val="Overskrift2"/>
        <w:rPr>
          <w:lang w:val="da-DK"/>
        </w:rPr>
      </w:pPr>
      <w:bookmarkStart w:id="46" w:name="_Toc401161372"/>
      <w:bookmarkStart w:id="47" w:name="_Toc353390028"/>
      <w:r w:rsidRPr="004B3BFA">
        <w:rPr>
          <w:lang w:val="da-DK"/>
        </w:rPr>
        <w:t>Implementeringsplanens</w:t>
      </w:r>
      <w:r>
        <w:t xml:space="preserve"> </w:t>
      </w:r>
      <w:r w:rsidR="004B3BFA" w:rsidRPr="004B3BFA">
        <w:rPr>
          <w:lang w:val="da-DK"/>
        </w:rPr>
        <w:t>faser</w:t>
      </w:r>
      <w:bookmarkEnd w:id="46"/>
    </w:p>
    <w:p w:rsidR="00081DDA" w:rsidRPr="00081DDA" w:rsidRDefault="00081DDA" w:rsidP="00887CB8">
      <w:pPr>
        <w:keepNext/>
      </w:pPr>
      <w:r>
        <w:t>Implementeringsplanen er opbygget af nedenstående hovedfaser:</w:t>
      </w:r>
    </w:p>
    <w:tbl>
      <w:tblPr>
        <w:tblStyle w:val="Tabel-Gitter"/>
        <w:tblW w:w="0" w:type="auto"/>
        <w:tblLook w:val="04A0" w:firstRow="1" w:lastRow="0" w:firstColumn="1" w:lastColumn="0" w:noHBand="0" w:noVBand="1"/>
      </w:tblPr>
      <w:tblGrid>
        <w:gridCol w:w="959"/>
        <w:gridCol w:w="7686"/>
      </w:tblGrid>
      <w:tr w:rsidR="001242FA" w:rsidRPr="001242FA" w:rsidTr="003B1099">
        <w:tc>
          <w:tcPr>
            <w:tcW w:w="959" w:type="dxa"/>
            <w:tcBorders>
              <w:top w:val="nil"/>
              <w:left w:val="nil"/>
              <w:bottom w:val="nil"/>
              <w:right w:val="nil"/>
            </w:tcBorders>
          </w:tcPr>
          <w:p w:rsidR="001242FA" w:rsidRPr="001242FA" w:rsidRDefault="001242FA" w:rsidP="00887CB8">
            <w:pPr>
              <w:keepNext/>
              <w:spacing w:before="120"/>
              <w:rPr>
                <w:b/>
              </w:rPr>
            </w:pPr>
            <w:r w:rsidRPr="001242FA">
              <w:rPr>
                <w:b/>
              </w:rPr>
              <w:t>Fase A</w:t>
            </w:r>
          </w:p>
        </w:tc>
        <w:tc>
          <w:tcPr>
            <w:tcW w:w="7686" w:type="dxa"/>
            <w:tcBorders>
              <w:top w:val="nil"/>
              <w:left w:val="nil"/>
              <w:bottom w:val="nil"/>
              <w:right w:val="nil"/>
            </w:tcBorders>
          </w:tcPr>
          <w:p w:rsidR="001242FA" w:rsidRPr="001242FA" w:rsidRDefault="00792530" w:rsidP="00414AFE">
            <w:pPr>
              <w:keepNext/>
              <w:spacing w:before="120"/>
              <w:rPr>
                <w:b/>
              </w:rPr>
            </w:pPr>
            <w:r>
              <w:rPr>
                <w:b/>
              </w:rPr>
              <w:t>Kravspecificering og udbud</w:t>
            </w:r>
          </w:p>
        </w:tc>
      </w:tr>
      <w:tr w:rsidR="001242FA" w:rsidTr="003B1099">
        <w:tc>
          <w:tcPr>
            <w:tcW w:w="959" w:type="dxa"/>
            <w:tcBorders>
              <w:top w:val="nil"/>
              <w:left w:val="nil"/>
              <w:bottom w:val="nil"/>
              <w:right w:val="nil"/>
            </w:tcBorders>
          </w:tcPr>
          <w:p w:rsidR="001242FA" w:rsidRDefault="001242FA" w:rsidP="00887CB8">
            <w:pPr>
              <w:keepNext/>
            </w:pPr>
          </w:p>
        </w:tc>
        <w:tc>
          <w:tcPr>
            <w:tcW w:w="7686" w:type="dxa"/>
            <w:tcBorders>
              <w:top w:val="nil"/>
              <w:left w:val="nil"/>
              <w:bottom w:val="nil"/>
              <w:right w:val="nil"/>
            </w:tcBorders>
          </w:tcPr>
          <w:p w:rsidR="00B97287" w:rsidRDefault="00B97287" w:rsidP="00B97287">
            <w:r>
              <w:t>Hovedf</w:t>
            </w:r>
            <w:r w:rsidR="00792530">
              <w:t xml:space="preserve">okus i denne fase er dels med udgangspunkt i grunddataregistrenes løsningsarkitektur at få udarbejdet en kravspecifikation og dertil hørende udbudsmateriale, dels på </w:t>
            </w:r>
            <w:r>
              <w:t>at få gennemført udbudsprocessen med prækvalificering, tilbudsgivning, evaluering af de modtagne tilbud samt kontraktindgåelse.</w:t>
            </w:r>
          </w:p>
          <w:p w:rsidR="006C09AE" w:rsidRDefault="00B97287" w:rsidP="00B97287">
            <w:pPr>
              <w:keepNext/>
            </w:pPr>
            <w:r>
              <w:t>Et vigtigt element i disse udbud er leverancesikkerhed – dvs. sikkerhed for at de aftalte deadlines kan overholdes, således programmet som helhed ikke forsinkes.</w:t>
            </w:r>
          </w:p>
          <w:p w:rsidR="00B97287" w:rsidRDefault="00B97287" w:rsidP="00B97287">
            <w:pPr>
              <w:keepNext/>
            </w:pPr>
            <w:r>
              <w:t>Matriklen er i gang med udbudsprocessen, hvorfor udviklingsprocessen hos den valgte leverandør vil blive igangsat i denne periode.</w:t>
            </w:r>
          </w:p>
          <w:p w:rsidR="00B97287" w:rsidRDefault="00B97287" w:rsidP="00B97287">
            <w:pPr>
              <w:keepNext/>
            </w:pPr>
            <w:r>
              <w:t>I forhold til ESR (udtræk, tilbagekonvertering mv.) sker der i denne fase en behovsafklaring hos registerprojekter med en efterfølgende kravspecificering af ESR opgaver.</w:t>
            </w:r>
          </w:p>
        </w:tc>
      </w:tr>
      <w:tr w:rsidR="001242FA" w:rsidRPr="001242FA" w:rsidTr="003B1099">
        <w:tc>
          <w:tcPr>
            <w:tcW w:w="959" w:type="dxa"/>
            <w:tcBorders>
              <w:top w:val="nil"/>
              <w:left w:val="nil"/>
              <w:bottom w:val="nil"/>
              <w:right w:val="nil"/>
            </w:tcBorders>
          </w:tcPr>
          <w:p w:rsidR="001242FA" w:rsidRPr="001242FA" w:rsidRDefault="001242FA" w:rsidP="001242FA">
            <w:pPr>
              <w:keepNext/>
              <w:spacing w:before="120"/>
              <w:rPr>
                <w:b/>
              </w:rPr>
            </w:pPr>
            <w:r w:rsidRPr="001242FA">
              <w:rPr>
                <w:b/>
              </w:rPr>
              <w:t xml:space="preserve">Fase </w:t>
            </w:r>
            <w:r>
              <w:rPr>
                <w:b/>
              </w:rPr>
              <w:t>B</w:t>
            </w:r>
          </w:p>
        </w:tc>
        <w:tc>
          <w:tcPr>
            <w:tcW w:w="7686" w:type="dxa"/>
            <w:tcBorders>
              <w:top w:val="nil"/>
              <w:left w:val="nil"/>
              <w:bottom w:val="nil"/>
              <w:right w:val="nil"/>
            </w:tcBorders>
          </w:tcPr>
          <w:p w:rsidR="001242FA" w:rsidRPr="001242FA" w:rsidRDefault="00792530" w:rsidP="00414AFE">
            <w:pPr>
              <w:keepNext/>
              <w:spacing w:before="120"/>
              <w:rPr>
                <w:b/>
              </w:rPr>
            </w:pPr>
            <w:r>
              <w:rPr>
                <w:b/>
              </w:rPr>
              <w:t>Udvikling</w:t>
            </w:r>
          </w:p>
        </w:tc>
      </w:tr>
      <w:tr w:rsidR="001242FA" w:rsidTr="003B1099">
        <w:tc>
          <w:tcPr>
            <w:tcW w:w="959" w:type="dxa"/>
            <w:tcBorders>
              <w:top w:val="nil"/>
              <w:left w:val="nil"/>
              <w:bottom w:val="nil"/>
              <w:right w:val="nil"/>
            </w:tcBorders>
          </w:tcPr>
          <w:p w:rsidR="001242FA" w:rsidRDefault="001242FA" w:rsidP="006C09AE"/>
        </w:tc>
        <w:tc>
          <w:tcPr>
            <w:tcW w:w="7686" w:type="dxa"/>
            <w:tcBorders>
              <w:top w:val="nil"/>
              <w:left w:val="nil"/>
              <w:bottom w:val="nil"/>
              <w:right w:val="nil"/>
            </w:tcBorders>
          </w:tcPr>
          <w:p w:rsidR="00435D39" w:rsidRDefault="00B97287" w:rsidP="00B97287">
            <w:r>
              <w:t xml:space="preserve"> Når der er valgt en leverandør er en af de første aktiviteter hos denne udarbejdelse af en løsningsarkitektur for det pågældende område.</w:t>
            </w:r>
            <w:r w:rsidR="00435D39">
              <w:t xml:space="preserve"> </w:t>
            </w:r>
            <w:r>
              <w:t>Hovedformålet hermed er at kunne sikre størst mulig parallelitet i udviklingen af de forskellige løsningskomponenter.</w:t>
            </w:r>
          </w:p>
          <w:p w:rsidR="001242FA" w:rsidRDefault="00435D39" w:rsidP="00435D39">
            <w:r>
              <w:t>Fasen omfatter derudover u</w:t>
            </w:r>
            <w:r w:rsidR="00B97287">
              <w:t>dviklingsprocessen hos den valgte leverandør inkl. Intern test hos leverandøren og funktionstest m</w:t>
            </w:r>
            <w:r>
              <w:t>v</w:t>
            </w:r>
            <w:r w:rsidR="00B97287">
              <w:t>. hos kunden</w:t>
            </w:r>
            <w:r>
              <w:t xml:space="preserve">. Mange snitflader vil i denne fase blive testet via ”stubbe” og ”drivere”, fordi udviklingen foregår parallelt i grunddataregistrene. </w:t>
            </w:r>
          </w:p>
          <w:p w:rsidR="00435D39" w:rsidRDefault="00435D39" w:rsidP="00435D39">
            <w:r>
              <w:t xml:space="preserve">I denne periode specificeres tjenester mv. ift. Datafordeleren, der indgås dataleveranceaftaler og de forskellige tjenester mv. udvikles og testes. </w:t>
            </w:r>
          </w:p>
        </w:tc>
      </w:tr>
      <w:tr w:rsidR="001242FA" w:rsidRPr="001242FA" w:rsidTr="003B1099">
        <w:tc>
          <w:tcPr>
            <w:tcW w:w="959" w:type="dxa"/>
            <w:tcBorders>
              <w:top w:val="nil"/>
              <w:left w:val="nil"/>
              <w:bottom w:val="nil"/>
              <w:right w:val="nil"/>
            </w:tcBorders>
          </w:tcPr>
          <w:p w:rsidR="001242FA" w:rsidRPr="001242FA" w:rsidRDefault="001242FA" w:rsidP="001242FA">
            <w:pPr>
              <w:keepNext/>
              <w:spacing w:before="120"/>
              <w:rPr>
                <w:b/>
              </w:rPr>
            </w:pPr>
            <w:r w:rsidRPr="001242FA">
              <w:rPr>
                <w:b/>
              </w:rPr>
              <w:lastRenderedPageBreak/>
              <w:t xml:space="preserve">Fase </w:t>
            </w:r>
            <w:r>
              <w:rPr>
                <w:b/>
              </w:rPr>
              <w:t>C</w:t>
            </w:r>
          </w:p>
        </w:tc>
        <w:tc>
          <w:tcPr>
            <w:tcW w:w="7686" w:type="dxa"/>
            <w:tcBorders>
              <w:top w:val="nil"/>
              <w:left w:val="nil"/>
              <w:bottom w:val="nil"/>
              <w:right w:val="nil"/>
            </w:tcBorders>
          </w:tcPr>
          <w:p w:rsidR="001242FA" w:rsidRPr="001242FA" w:rsidRDefault="00792530" w:rsidP="00414AFE">
            <w:pPr>
              <w:keepNext/>
              <w:spacing w:before="120"/>
              <w:rPr>
                <w:b/>
              </w:rPr>
            </w:pPr>
            <w:r>
              <w:rPr>
                <w:b/>
              </w:rPr>
              <w:t>Snitfladetest</w:t>
            </w:r>
          </w:p>
        </w:tc>
      </w:tr>
      <w:tr w:rsidR="001242FA" w:rsidTr="00792530">
        <w:tc>
          <w:tcPr>
            <w:tcW w:w="959" w:type="dxa"/>
            <w:tcBorders>
              <w:top w:val="nil"/>
              <w:left w:val="nil"/>
              <w:bottom w:val="nil"/>
              <w:right w:val="nil"/>
            </w:tcBorders>
          </w:tcPr>
          <w:p w:rsidR="001242FA" w:rsidRDefault="001242FA" w:rsidP="006C09AE"/>
        </w:tc>
        <w:tc>
          <w:tcPr>
            <w:tcW w:w="7686" w:type="dxa"/>
            <w:tcBorders>
              <w:top w:val="nil"/>
              <w:left w:val="nil"/>
              <w:bottom w:val="nil"/>
              <w:right w:val="nil"/>
            </w:tcBorders>
          </w:tcPr>
          <w:p w:rsidR="001242FA" w:rsidRDefault="00435D39" w:rsidP="003B1099">
            <w:r>
              <w:t>I denne fase er der fokus på at få testet de forskellige snitflader mellem grunddataregistre og/eller Datafordeler tjenester. Dette gøres ved at udskifte de forskellige ”stubbe” en-for-en for derigennem at sikre, at den enkelte snitflade også fungerer teknisk og forretningsmæssigt korrekt som ”live integration”.</w:t>
            </w:r>
          </w:p>
        </w:tc>
      </w:tr>
      <w:tr w:rsidR="00792530" w:rsidRPr="001242FA" w:rsidTr="00792530">
        <w:tc>
          <w:tcPr>
            <w:tcW w:w="959" w:type="dxa"/>
            <w:tcBorders>
              <w:top w:val="nil"/>
              <w:left w:val="nil"/>
              <w:bottom w:val="nil"/>
              <w:right w:val="nil"/>
            </w:tcBorders>
          </w:tcPr>
          <w:p w:rsidR="00792530" w:rsidRPr="001242FA" w:rsidRDefault="00792530" w:rsidP="00354DE7">
            <w:pPr>
              <w:keepNext/>
              <w:spacing w:before="120"/>
              <w:rPr>
                <w:b/>
              </w:rPr>
            </w:pPr>
            <w:r w:rsidRPr="001242FA">
              <w:rPr>
                <w:b/>
              </w:rPr>
              <w:t xml:space="preserve">Fase </w:t>
            </w:r>
            <w:r>
              <w:rPr>
                <w:b/>
              </w:rPr>
              <w:t>D</w:t>
            </w:r>
          </w:p>
        </w:tc>
        <w:tc>
          <w:tcPr>
            <w:tcW w:w="7686" w:type="dxa"/>
            <w:tcBorders>
              <w:top w:val="nil"/>
              <w:left w:val="nil"/>
              <w:bottom w:val="nil"/>
              <w:right w:val="nil"/>
            </w:tcBorders>
          </w:tcPr>
          <w:p w:rsidR="00792530" w:rsidRPr="001242FA" w:rsidRDefault="00792530" w:rsidP="00354DE7">
            <w:pPr>
              <w:keepNext/>
              <w:spacing w:before="120"/>
              <w:rPr>
                <w:b/>
              </w:rPr>
            </w:pPr>
            <w:r>
              <w:rPr>
                <w:b/>
              </w:rPr>
              <w:t>Tværgående test</w:t>
            </w:r>
          </w:p>
        </w:tc>
      </w:tr>
      <w:tr w:rsidR="00792530" w:rsidTr="00792530">
        <w:tc>
          <w:tcPr>
            <w:tcW w:w="959" w:type="dxa"/>
            <w:tcBorders>
              <w:top w:val="nil"/>
              <w:left w:val="nil"/>
              <w:bottom w:val="nil"/>
              <w:right w:val="nil"/>
            </w:tcBorders>
          </w:tcPr>
          <w:p w:rsidR="00792530" w:rsidRDefault="00792530" w:rsidP="00354DE7"/>
        </w:tc>
        <w:tc>
          <w:tcPr>
            <w:tcW w:w="7686" w:type="dxa"/>
            <w:tcBorders>
              <w:top w:val="nil"/>
              <w:left w:val="nil"/>
              <w:bottom w:val="nil"/>
              <w:right w:val="nil"/>
            </w:tcBorders>
          </w:tcPr>
          <w:p w:rsidR="00792530" w:rsidRDefault="00BA5D9E" w:rsidP="00BA5D9E">
            <w:r>
              <w:rPr>
                <w:sz w:val="20"/>
                <w:szCs w:val="20"/>
              </w:rPr>
              <w:t>Tværgående test på tværs af GD1, GD2 og GD7 omfattende scenarier dækkende få systemer og end-to-end scenarier med en samlet tværgående test.</w:t>
            </w:r>
          </w:p>
        </w:tc>
      </w:tr>
      <w:tr w:rsidR="00792530" w:rsidRPr="001242FA" w:rsidTr="00792530">
        <w:tc>
          <w:tcPr>
            <w:tcW w:w="959" w:type="dxa"/>
            <w:tcBorders>
              <w:top w:val="nil"/>
              <w:left w:val="nil"/>
              <w:bottom w:val="nil"/>
              <w:right w:val="nil"/>
            </w:tcBorders>
          </w:tcPr>
          <w:p w:rsidR="00792530" w:rsidRPr="001242FA" w:rsidRDefault="00792530" w:rsidP="00354DE7">
            <w:pPr>
              <w:keepNext/>
              <w:spacing w:before="120"/>
              <w:rPr>
                <w:b/>
              </w:rPr>
            </w:pPr>
            <w:r w:rsidRPr="001242FA">
              <w:rPr>
                <w:b/>
              </w:rPr>
              <w:t xml:space="preserve">Fase </w:t>
            </w:r>
            <w:r>
              <w:rPr>
                <w:b/>
              </w:rPr>
              <w:t>E</w:t>
            </w:r>
          </w:p>
        </w:tc>
        <w:tc>
          <w:tcPr>
            <w:tcW w:w="7686" w:type="dxa"/>
            <w:tcBorders>
              <w:top w:val="nil"/>
              <w:left w:val="nil"/>
              <w:bottom w:val="nil"/>
              <w:right w:val="nil"/>
            </w:tcBorders>
          </w:tcPr>
          <w:p w:rsidR="00792530" w:rsidRPr="001242FA" w:rsidRDefault="00792530" w:rsidP="00354DE7">
            <w:pPr>
              <w:keepNext/>
              <w:spacing w:before="120"/>
              <w:rPr>
                <w:b/>
              </w:rPr>
            </w:pPr>
            <w:r>
              <w:rPr>
                <w:b/>
              </w:rPr>
              <w:t>Implementering</w:t>
            </w:r>
          </w:p>
        </w:tc>
      </w:tr>
      <w:tr w:rsidR="00792530" w:rsidTr="00792530">
        <w:tc>
          <w:tcPr>
            <w:tcW w:w="959" w:type="dxa"/>
            <w:tcBorders>
              <w:top w:val="nil"/>
              <w:left w:val="nil"/>
              <w:bottom w:val="nil"/>
              <w:right w:val="nil"/>
            </w:tcBorders>
          </w:tcPr>
          <w:p w:rsidR="00792530" w:rsidRDefault="00792530" w:rsidP="00354DE7"/>
        </w:tc>
        <w:tc>
          <w:tcPr>
            <w:tcW w:w="7686" w:type="dxa"/>
            <w:tcBorders>
              <w:top w:val="nil"/>
              <w:left w:val="nil"/>
              <w:bottom w:val="nil"/>
              <w:right w:val="nil"/>
            </w:tcBorders>
          </w:tcPr>
          <w:p w:rsidR="001B0BDF" w:rsidRDefault="001B0BDF" w:rsidP="001B0BDF">
            <w:r>
              <w:t>Idriftsættelse af de forskellige grunddataregistre i GD1 – matriklen, Ejerfortegnelsen og BBR 2.0 – både selve registret og dets udstilling af tjenester på Datafordeleren.</w:t>
            </w:r>
          </w:p>
          <w:p w:rsidR="00792530" w:rsidRDefault="001B0BDF" w:rsidP="00354DE7">
            <w:r>
              <w:t>Implementeringen gennemføres i følgende trin:</w:t>
            </w:r>
          </w:p>
          <w:p w:rsidR="001B0BDF" w:rsidRDefault="001B0BDF" w:rsidP="001B0BDF">
            <w:pPr>
              <w:pStyle w:val="Listeafsnit"/>
              <w:numPr>
                <w:ilvl w:val="0"/>
                <w:numId w:val="32"/>
              </w:numPr>
              <w:jc w:val="left"/>
            </w:pPr>
            <w:r>
              <w:t>GST: Matriklen med ”Samlet Fast Ejendom” som ejendomstype.</w:t>
            </w:r>
          </w:p>
          <w:p w:rsidR="001B0BDF" w:rsidRDefault="001B0BDF" w:rsidP="001B0BDF">
            <w:pPr>
              <w:pStyle w:val="Listeafsnit"/>
              <w:numPr>
                <w:ilvl w:val="0"/>
                <w:numId w:val="32"/>
              </w:numPr>
              <w:jc w:val="left"/>
            </w:pPr>
            <w:r>
              <w:t>GST: Matriklen med ”Ejerlejligheder” som ejendomstype.</w:t>
            </w:r>
          </w:p>
          <w:p w:rsidR="001B0BDF" w:rsidRDefault="001B0BDF" w:rsidP="001B0BDF">
            <w:pPr>
              <w:pStyle w:val="Listeafsnit"/>
              <w:numPr>
                <w:ilvl w:val="0"/>
                <w:numId w:val="32"/>
              </w:numPr>
              <w:jc w:val="left"/>
            </w:pPr>
            <w:r>
              <w:t>GST: Ny Ejerfortegnelse.</w:t>
            </w:r>
          </w:p>
          <w:p w:rsidR="001B0BDF" w:rsidRDefault="001B0BDF" w:rsidP="001B0BDF">
            <w:pPr>
              <w:pStyle w:val="Listeafsnit"/>
              <w:numPr>
                <w:ilvl w:val="0"/>
                <w:numId w:val="32"/>
              </w:numPr>
              <w:jc w:val="left"/>
            </w:pPr>
            <w:r>
              <w:t>GST: Matriklen med ”BPFG” som ejendomstype amt</w:t>
            </w:r>
            <w:r>
              <w:br/>
              <w:t>MBBL: Udvidet BBR (BBR 2.0)</w:t>
            </w:r>
          </w:p>
        </w:tc>
      </w:tr>
      <w:tr w:rsidR="00792530" w:rsidRPr="001242FA" w:rsidTr="00792530">
        <w:tc>
          <w:tcPr>
            <w:tcW w:w="959" w:type="dxa"/>
            <w:tcBorders>
              <w:top w:val="nil"/>
              <w:left w:val="nil"/>
              <w:bottom w:val="nil"/>
              <w:right w:val="nil"/>
            </w:tcBorders>
          </w:tcPr>
          <w:p w:rsidR="00792530" w:rsidRPr="001242FA" w:rsidRDefault="00792530" w:rsidP="00354DE7">
            <w:pPr>
              <w:keepNext/>
              <w:spacing w:before="120"/>
              <w:rPr>
                <w:b/>
              </w:rPr>
            </w:pPr>
            <w:r w:rsidRPr="001242FA">
              <w:rPr>
                <w:b/>
              </w:rPr>
              <w:t xml:space="preserve">Fase </w:t>
            </w:r>
            <w:r>
              <w:rPr>
                <w:b/>
              </w:rPr>
              <w:t>F</w:t>
            </w:r>
          </w:p>
        </w:tc>
        <w:tc>
          <w:tcPr>
            <w:tcW w:w="7686" w:type="dxa"/>
            <w:tcBorders>
              <w:top w:val="nil"/>
              <w:left w:val="nil"/>
              <w:bottom w:val="nil"/>
              <w:right w:val="nil"/>
            </w:tcBorders>
          </w:tcPr>
          <w:p w:rsidR="00792530" w:rsidRPr="001242FA" w:rsidRDefault="00792530" w:rsidP="00354DE7">
            <w:pPr>
              <w:keepNext/>
              <w:spacing w:before="120"/>
              <w:rPr>
                <w:b/>
              </w:rPr>
            </w:pPr>
            <w:r>
              <w:rPr>
                <w:b/>
              </w:rPr>
              <w:t>Paralleldrift</w:t>
            </w:r>
          </w:p>
        </w:tc>
      </w:tr>
      <w:tr w:rsidR="00792530" w:rsidTr="00792530">
        <w:tc>
          <w:tcPr>
            <w:tcW w:w="959" w:type="dxa"/>
            <w:tcBorders>
              <w:top w:val="nil"/>
              <w:left w:val="nil"/>
              <w:bottom w:val="nil"/>
              <w:right w:val="nil"/>
            </w:tcBorders>
          </w:tcPr>
          <w:p w:rsidR="00792530" w:rsidRDefault="00792530" w:rsidP="00354DE7"/>
        </w:tc>
        <w:tc>
          <w:tcPr>
            <w:tcW w:w="7686" w:type="dxa"/>
            <w:tcBorders>
              <w:top w:val="nil"/>
              <w:left w:val="nil"/>
              <w:bottom w:val="nil"/>
              <w:right w:val="nil"/>
            </w:tcBorders>
          </w:tcPr>
          <w:p w:rsidR="00792530" w:rsidRDefault="001B0BDF" w:rsidP="00345FC0">
            <w:r>
              <w:t xml:space="preserve">Der gennemføres paralleldrift </w:t>
            </w:r>
            <w:r w:rsidR="00345FC0">
              <w:t xml:space="preserve">mellem ESR og de nye grunddataregistre mv. </w:t>
            </w:r>
            <w:r>
              <w:t>svarende til et årshjul</w:t>
            </w:r>
            <w:r w:rsidR="00345FC0">
              <w:t>.</w:t>
            </w:r>
          </w:p>
        </w:tc>
      </w:tr>
    </w:tbl>
    <w:p w:rsidR="004B3BFA" w:rsidRPr="004B3BFA" w:rsidRDefault="004B3BFA" w:rsidP="004B3BFA"/>
    <w:p w:rsidR="0073321F" w:rsidRDefault="004B3BFA" w:rsidP="0073321F">
      <w:pPr>
        <w:pStyle w:val="Overskrift2"/>
      </w:pPr>
      <w:bookmarkStart w:id="48" w:name="_Toc401161373"/>
      <w:r w:rsidRPr="004B3BFA">
        <w:rPr>
          <w:lang w:val="da-DK"/>
        </w:rPr>
        <w:t>Implementeringsplanens</w:t>
      </w:r>
      <w:r>
        <w:t xml:space="preserve"> </w:t>
      </w:r>
      <w:r w:rsidR="0073321F" w:rsidRPr="004B3BFA">
        <w:rPr>
          <w:lang w:val="da-DK"/>
        </w:rPr>
        <w:t>milepæle</w:t>
      </w:r>
      <w:bookmarkEnd w:id="47"/>
      <w:bookmarkEnd w:id="48"/>
    </w:p>
    <w:p w:rsidR="0073321F" w:rsidRDefault="0073321F" w:rsidP="0073321F">
      <w:r>
        <w:t>De enkelte milepæle i implementeringsplanen vi</w:t>
      </w:r>
      <w:r w:rsidR="004B3BFA">
        <w:t>l indeholde følgende produkter:</w:t>
      </w:r>
    </w:p>
    <w:p w:rsidR="00AB794B" w:rsidRDefault="00AB794B" w:rsidP="0073321F">
      <w:r w:rsidRPr="00AB794B">
        <w:rPr>
          <w:highlight w:val="yellow"/>
        </w:rPr>
        <w:t>NB listen er ikke endelig p.t.</w:t>
      </w:r>
    </w:p>
    <w:tbl>
      <w:tblPr>
        <w:tblStyle w:val="Tabel-Gitter"/>
        <w:tblW w:w="0" w:type="auto"/>
        <w:tblLook w:val="04A0" w:firstRow="1" w:lastRow="0" w:firstColumn="1" w:lastColumn="0" w:noHBand="0" w:noVBand="1"/>
      </w:tblPr>
      <w:tblGrid>
        <w:gridCol w:w="817"/>
        <w:gridCol w:w="6379"/>
        <w:gridCol w:w="1449"/>
      </w:tblGrid>
      <w:tr w:rsidR="0073321F" w:rsidRPr="00596FDC" w:rsidTr="00AB794B">
        <w:trPr>
          <w:cantSplit/>
        </w:trPr>
        <w:tc>
          <w:tcPr>
            <w:tcW w:w="817" w:type="dxa"/>
            <w:tcBorders>
              <w:top w:val="nil"/>
              <w:left w:val="nil"/>
              <w:bottom w:val="nil"/>
              <w:right w:val="nil"/>
            </w:tcBorders>
          </w:tcPr>
          <w:p w:rsidR="0073321F" w:rsidRPr="00596FDC" w:rsidRDefault="0073321F" w:rsidP="0073321F">
            <w:pPr>
              <w:keepNext/>
              <w:spacing w:before="240"/>
              <w:rPr>
                <w:b/>
              </w:rPr>
            </w:pPr>
            <w:r>
              <w:rPr>
                <w:b/>
              </w:rPr>
              <w:t>M</w:t>
            </w:r>
            <w:r w:rsidRPr="00596FDC">
              <w:rPr>
                <w:b/>
              </w:rPr>
              <w:t xml:space="preserve"> 1</w:t>
            </w:r>
          </w:p>
        </w:tc>
        <w:tc>
          <w:tcPr>
            <w:tcW w:w="6379" w:type="dxa"/>
            <w:tcBorders>
              <w:top w:val="nil"/>
              <w:left w:val="nil"/>
              <w:bottom w:val="nil"/>
              <w:right w:val="nil"/>
            </w:tcBorders>
          </w:tcPr>
          <w:p w:rsidR="0073321F" w:rsidRPr="00596FDC" w:rsidRDefault="00414AFE" w:rsidP="006E2773">
            <w:pPr>
              <w:keepNext/>
              <w:spacing w:before="240"/>
              <w:jc w:val="left"/>
              <w:rPr>
                <w:b/>
              </w:rPr>
            </w:pPr>
            <w:r>
              <w:rPr>
                <w:b/>
              </w:rPr>
              <w:t>M</w:t>
            </w:r>
            <w:r w:rsidR="006E2773">
              <w:rPr>
                <w:b/>
              </w:rPr>
              <w:t>atriklen klar til udbud.</w:t>
            </w:r>
          </w:p>
        </w:tc>
        <w:tc>
          <w:tcPr>
            <w:tcW w:w="1449" w:type="dxa"/>
            <w:tcBorders>
              <w:top w:val="nil"/>
              <w:left w:val="nil"/>
              <w:bottom w:val="nil"/>
              <w:right w:val="nil"/>
            </w:tcBorders>
          </w:tcPr>
          <w:p w:rsidR="0073321F" w:rsidRPr="00596FDC" w:rsidRDefault="00414AFE" w:rsidP="00BA5D9E">
            <w:pPr>
              <w:keepNext/>
              <w:spacing w:before="240"/>
              <w:jc w:val="center"/>
              <w:rPr>
                <w:b/>
              </w:rPr>
            </w:pPr>
            <w:r>
              <w:rPr>
                <w:b/>
              </w:rPr>
              <w:t xml:space="preserve">Uge </w:t>
            </w:r>
            <w:r w:rsidR="00BA5D9E">
              <w:rPr>
                <w:b/>
              </w:rPr>
              <w:t>45</w:t>
            </w:r>
            <w:r w:rsidR="0073321F">
              <w:rPr>
                <w:b/>
              </w:rPr>
              <w:t xml:space="preserve"> 201</w:t>
            </w:r>
            <w:r w:rsidR="00BA5D9E">
              <w:rPr>
                <w:b/>
              </w:rPr>
              <w:t>4</w:t>
            </w:r>
          </w:p>
        </w:tc>
      </w:tr>
      <w:tr w:rsidR="0073321F" w:rsidTr="00AB794B">
        <w:trPr>
          <w:cantSplit/>
        </w:trPr>
        <w:tc>
          <w:tcPr>
            <w:tcW w:w="817" w:type="dxa"/>
            <w:tcBorders>
              <w:top w:val="nil"/>
              <w:left w:val="nil"/>
              <w:bottom w:val="nil"/>
              <w:right w:val="nil"/>
            </w:tcBorders>
          </w:tcPr>
          <w:p w:rsidR="0073321F" w:rsidRDefault="0073321F" w:rsidP="0073321F">
            <w:pPr>
              <w:keepNext/>
              <w:spacing w:before="60"/>
            </w:pPr>
          </w:p>
        </w:tc>
        <w:tc>
          <w:tcPr>
            <w:tcW w:w="7828" w:type="dxa"/>
            <w:gridSpan w:val="2"/>
            <w:tcBorders>
              <w:top w:val="nil"/>
              <w:left w:val="nil"/>
              <w:bottom w:val="nil"/>
              <w:right w:val="nil"/>
            </w:tcBorders>
          </w:tcPr>
          <w:p w:rsidR="0073321F" w:rsidRDefault="008850E1" w:rsidP="00414AFE">
            <w:pPr>
              <w:keepNext/>
              <w:spacing w:before="60"/>
            </w:pPr>
            <w:r>
              <w:t>Udbudsmateriale til Matriklens udvidelse</w:t>
            </w:r>
            <w:r w:rsidR="00C74FBD">
              <w:t>.</w:t>
            </w:r>
          </w:p>
        </w:tc>
      </w:tr>
      <w:tr w:rsidR="0073321F" w:rsidTr="00AB794B">
        <w:trPr>
          <w:cantSplit/>
        </w:trPr>
        <w:tc>
          <w:tcPr>
            <w:tcW w:w="817" w:type="dxa"/>
            <w:tcBorders>
              <w:top w:val="nil"/>
              <w:left w:val="nil"/>
              <w:bottom w:val="nil"/>
              <w:right w:val="nil"/>
            </w:tcBorders>
          </w:tcPr>
          <w:p w:rsidR="0073321F" w:rsidRDefault="0073321F" w:rsidP="0073321F"/>
        </w:tc>
        <w:tc>
          <w:tcPr>
            <w:tcW w:w="7828" w:type="dxa"/>
            <w:gridSpan w:val="2"/>
            <w:tcBorders>
              <w:top w:val="nil"/>
              <w:left w:val="nil"/>
              <w:bottom w:val="nil"/>
              <w:right w:val="nil"/>
            </w:tcBorders>
          </w:tcPr>
          <w:p w:rsidR="008850E1" w:rsidRDefault="00C74FBD" w:rsidP="008850E1">
            <w:pPr>
              <w:ind w:left="284"/>
              <w:jc w:val="left"/>
            </w:pPr>
            <w:r>
              <w:t>K</w:t>
            </w:r>
            <w:r w:rsidR="008850E1">
              <w:t>ravspecifikation og øvrigt udbudsmateriale udarbejdet.</w:t>
            </w:r>
          </w:p>
          <w:p w:rsidR="0073321F" w:rsidRDefault="008850E1" w:rsidP="008850E1">
            <w:pPr>
              <w:ind w:left="284"/>
              <w:jc w:val="left"/>
            </w:pPr>
            <w:r>
              <w:t xml:space="preserve">Kravspecifikation – specielt den funktionelle del med use cases m.m. - </w:t>
            </w:r>
            <w:proofErr w:type="gramStart"/>
            <w:r>
              <w:t>kvalitetssikret</w:t>
            </w:r>
            <w:proofErr w:type="gramEnd"/>
            <w:r>
              <w:t xml:space="preserve"> i ejendomsdataprogrammet med fokus på snitflader.</w:t>
            </w:r>
          </w:p>
        </w:tc>
      </w:tr>
      <w:tr w:rsidR="00414AFE" w:rsidTr="00AB794B">
        <w:trPr>
          <w:cantSplit/>
        </w:trPr>
        <w:tc>
          <w:tcPr>
            <w:tcW w:w="817" w:type="dxa"/>
            <w:tcBorders>
              <w:top w:val="nil"/>
              <w:left w:val="nil"/>
              <w:bottom w:val="nil"/>
              <w:right w:val="nil"/>
            </w:tcBorders>
          </w:tcPr>
          <w:p w:rsidR="00414AFE" w:rsidRDefault="00414AFE" w:rsidP="0073321F">
            <w:pPr>
              <w:keepNext/>
              <w:spacing w:before="60"/>
            </w:pPr>
          </w:p>
        </w:tc>
        <w:tc>
          <w:tcPr>
            <w:tcW w:w="7828" w:type="dxa"/>
            <w:gridSpan w:val="2"/>
            <w:tcBorders>
              <w:top w:val="nil"/>
              <w:left w:val="nil"/>
              <w:bottom w:val="nil"/>
              <w:right w:val="nil"/>
            </w:tcBorders>
          </w:tcPr>
          <w:p w:rsidR="00414AFE" w:rsidRDefault="006E2773" w:rsidP="006E2773">
            <w:pPr>
              <w:keepNext/>
              <w:spacing w:before="60"/>
            </w:pPr>
            <w:r>
              <w:t>Løsningsarkitektur for de nye økonomiløsninger</w:t>
            </w:r>
            <w:r w:rsidR="00C74FBD">
              <w:t>.</w:t>
            </w:r>
          </w:p>
        </w:tc>
      </w:tr>
      <w:tr w:rsidR="00414AFE" w:rsidTr="00AB794B">
        <w:trPr>
          <w:cantSplit/>
        </w:trPr>
        <w:tc>
          <w:tcPr>
            <w:tcW w:w="817" w:type="dxa"/>
            <w:tcBorders>
              <w:top w:val="nil"/>
              <w:left w:val="nil"/>
              <w:bottom w:val="nil"/>
              <w:right w:val="nil"/>
            </w:tcBorders>
          </w:tcPr>
          <w:p w:rsidR="00414AFE" w:rsidRDefault="00414AFE" w:rsidP="0073321F"/>
        </w:tc>
        <w:tc>
          <w:tcPr>
            <w:tcW w:w="7828" w:type="dxa"/>
            <w:gridSpan w:val="2"/>
            <w:tcBorders>
              <w:top w:val="nil"/>
              <w:left w:val="nil"/>
              <w:bottom w:val="nil"/>
              <w:right w:val="nil"/>
            </w:tcBorders>
          </w:tcPr>
          <w:p w:rsidR="00414AFE" w:rsidRDefault="006E2773" w:rsidP="006E2773">
            <w:pPr>
              <w:ind w:left="284"/>
              <w:jc w:val="left"/>
            </w:pPr>
            <w:r>
              <w:t xml:space="preserve">Løsningsarkitektur udarbejdet for den nye økonomiløsninger til </w:t>
            </w:r>
            <w:r>
              <w:br/>
              <w:t>Ejendomsskat og Ejendomsbidrag.</w:t>
            </w:r>
            <w:r>
              <w:br/>
              <w:t>Fokus er i GD1 på krav til udstillingsservices og hændelser, således</w:t>
            </w:r>
            <w:r>
              <w:br/>
              <w:t xml:space="preserve">disse kan komme med i grunddataregistrenes dataleveranceaftaler </w:t>
            </w:r>
            <w:r>
              <w:br/>
              <w:t>med Datafordeleren.</w:t>
            </w:r>
          </w:p>
        </w:tc>
      </w:tr>
      <w:tr w:rsidR="00414AFE" w:rsidRPr="00596FDC" w:rsidTr="00AB794B">
        <w:trPr>
          <w:cantSplit/>
        </w:trPr>
        <w:tc>
          <w:tcPr>
            <w:tcW w:w="817" w:type="dxa"/>
            <w:tcBorders>
              <w:top w:val="nil"/>
              <w:left w:val="nil"/>
              <w:bottom w:val="nil"/>
              <w:right w:val="nil"/>
            </w:tcBorders>
          </w:tcPr>
          <w:p w:rsidR="00414AFE" w:rsidRPr="00596FDC" w:rsidRDefault="00414AFE" w:rsidP="00365379">
            <w:pPr>
              <w:keepNext/>
              <w:spacing w:before="240"/>
              <w:rPr>
                <w:b/>
              </w:rPr>
            </w:pPr>
            <w:r>
              <w:rPr>
                <w:b/>
              </w:rPr>
              <w:t>M 2</w:t>
            </w:r>
          </w:p>
        </w:tc>
        <w:tc>
          <w:tcPr>
            <w:tcW w:w="6379" w:type="dxa"/>
            <w:tcBorders>
              <w:top w:val="nil"/>
              <w:left w:val="nil"/>
              <w:bottom w:val="nil"/>
              <w:right w:val="nil"/>
            </w:tcBorders>
          </w:tcPr>
          <w:p w:rsidR="00414AFE" w:rsidRPr="00596FDC" w:rsidRDefault="00C74FBD" w:rsidP="00C74FBD">
            <w:pPr>
              <w:keepNext/>
              <w:spacing w:before="240"/>
              <w:jc w:val="left"/>
              <w:rPr>
                <w:b/>
              </w:rPr>
            </w:pPr>
            <w:r>
              <w:rPr>
                <w:b/>
              </w:rPr>
              <w:t>BBR og Ejerfortegnelse klar til udbud</w:t>
            </w:r>
          </w:p>
        </w:tc>
        <w:tc>
          <w:tcPr>
            <w:tcW w:w="1449" w:type="dxa"/>
            <w:tcBorders>
              <w:top w:val="nil"/>
              <w:left w:val="nil"/>
              <w:bottom w:val="nil"/>
              <w:right w:val="nil"/>
            </w:tcBorders>
          </w:tcPr>
          <w:p w:rsidR="00414AFE" w:rsidRPr="00596FDC" w:rsidRDefault="00C74FBD" w:rsidP="00365379">
            <w:pPr>
              <w:keepNext/>
              <w:spacing w:before="240"/>
              <w:jc w:val="center"/>
              <w:rPr>
                <w:b/>
              </w:rPr>
            </w:pPr>
            <w:r>
              <w:rPr>
                <w:b/>
              </w:rPr>
              <w:t>Uge 10</w:t>
            </w:r>
            <w:r w:rsidR="00414AFE">
              <w:rPr>
                <w:b/>
              </w:rPr>
              <w:t xml:space="preserve"> 2015</w:t>
            </w:r>
          </w:p>
        </w:tc>
      </w:tr>
      <w:tr w:rsidR="006E2773" w:rsidTr="00AB794B">
        <w:trPr>
          <w:cantSplit/>
        </w:trPr>
        <w:tc>
          <w:tcPr>
            <w:tcW w:w="817" w:type="dxa"/>
            <w:tcBorders>
              <w:top w:val="nil"/>
              <w:left w:val="nil"/>
              <w:bottom w:val="nil"/>
              <w:right w:val="nil"/>
            </w:tcBorders>
          </w:tcPr>
          <w:p w:rsidR="006E2773" w:rsidRDefault="006E2773" w:rsidP="00354DE7">
            <w:pPr>
              <w:keepNext/>
              <w:spacing w:before="60"/>
            </w:pPr>
          </w:p>
        </w:tc>
        <w:tc>
          <w:tcPr>
            <w:tcW w:w="7828" w:type="dxa"/>
            <w:gridSpan w:val="2"/>
            <w:tcBorders>
              <w:top w:val="nil"/>
              <w:left w:val="nil"/>
              <w:bottom w:val="nil"/>
              <w:right w:val="nil"/>
            </w:tcBorders>
          </w:tcPr>
          <w:p w:rsidR="006E2773" w:rsidRDefault="006E2773" w:rsidP="006E2773">
            <w:pPr>
              <w:keepNext/>
              <w:spacing w:before="60"/>
            </w:pPr>
            <w:r>
              <w:t>Kontrakt med leverandør til Matriklens udvidelse</w:t>
            </w:r>
          </w:p>
        </w:tc>
      </w:tr>
      <w:tr w:rsidR="006E2773" w:rsidTr="00AB794B">
        <w:trPr>
          <w:cantSplit/>
        </w:trPr>
        <w:tc>
          <w:tcPr>
            <w:tcW w:w="817" w:type="dxa"/>
            <w:tcBorders>
              <w:top w:val="nil"/>
              <w:left w:val="nil"/>
              <w:bottom w:val="nil"/>
              <w:right w:val="nil"/>
            </w:tcBorders>
          </w:tcPr>
          <w:p w:rsidR="006E2773" w:rsidRDefault="006E2773" w:rsidP="00354DE7"/>
        </w:tc>
        <w:tc>
          <w:tcPr>
            <w:tcW w:w="7828" w:type="dxa"/>
            <w:gridSpan w:val="2"/>
            <w:tcBorders>
              <w:top w:val="nil"/>
              <w:left w:val="nil"/>
              <w:bottom w:val="nil"/>
              <w:right w:val="nil"/>
            </w:tcBorders>
          </w:tcPr>
          <w:p w:rsidR="006E2773" w:rsidRDefault="006E2773" w:rsidP="006E2773">
            <w:pPr>
              <w:ind w:left="284"/>
              <w:jc w:val="left"/>
            </w:pPr>
            <w:r>
              <w:t>Udbudsproces gennemført og der er indgået en kontrakt med den valgte leverandør.</w:t>
            </w:r>
          </w:p>
        </w:tc>
      </w:tr>
      <w:tr w:rsidR="00414AFE" w:rsidTr="00AB794B">
        <w:trPr>
          <w:cantSplit/>
        </w:trPr>
        <w:tc>
          <w:tcPr>
            <w:tcW w:w="817" w:type="dxa"/>
            <w:tcBorders>
              <w:top w:val="nil"/>
              <w:left w:val="nil"/>
              <w:bottom w:val="nil"/>
              <w:right w:val="nil"/>
            </w:tcBorders>
          </w:tcPr>
          <w:p w:rsidR="00414AFE" w:rsidRDefault="00414AFE" w:rsidP="00365379">
            <w:pPr>
              <w:keepNext/>
              <w:spacing w:before="60"/>
            </w:pPr>
          </w:p>
        </w:tc>
        <w:tc>
          <w:tcPr>
            <w:tcW w:w="7828" w:type="dxa"/>
            <w:gridSpan w:val="2"/>
            <w:tcBorders>
              <w:top w:val="nil"/>
              <w:left w:val="nil"/>
              <w:bottom w:val="nil"/>
              <w:right w:val="nil"/>
            </w:tcBorders>
          </w:tcPr>
          <w:p w:rsidR="00414AFE" w:rsidRDefault="008850E1" w:rsidP="008850E1">
            <w:pPr>
              <w:keepNext/>
              <w:spacing w:before="60"/>
            </w:pPr>
            <w:r>
              <w:t>Løsningsarkitektur for Ejerfortegnelse</w:t>
            </w:r>
          </w:p>
        </w:tc>
      </w:tr>
      <w:tr w:rsidR="00414AFE" w:rsidTr="00AB794B">
        <w:trPr>
          <w:cantSplit/>
        </w:trPr>
        <w:tc>
          <w:tcPr>
            <w:tcW w:w="817" w:type="dxa"/>
            <w:tcBorders>
              <w:top w:val="nil"/>
              <w:left w:val="nil"/>
              <w:bottom w:val="nil"/>
              <w:right w:val="nil"/>
            </w:tcBorders>
          </w:tcPr>
          <w:p w:rsidR="00414AFE" w:rsidRDefault="00414AFE" w:rsidP="00365379"/>
        </w:tc>
        <w:tc>
          <w:tcPr>
            <w:tcW w:w="7828" w:type="dxa"/>
            <w:gridSpan w:val="2"/>
            <w:tcBorders>
              <w:top w:val="nil"/>
              <w:left w:val="nil"/>
              <w:bottom w:val="nil"/>
              <w:right w:val="nil"/>
            </w:tcBorders>
          </w:tcPr>
          <w:p w:rsidR="00414AFE" w:rsidRDefault="008850E1" w:rsidP="00365379">
            <w:pPr>
              <w:ind w:left="284"/>
              <w:jc w:val="left"/>
            </w:pPr>
            <w:r>
              <w:t>Løsningsarkitektur udarbejdet i henhold til delprogrammets krav hertil – herunder informationsmodel og beskrivelse af de forskellige services.</w:t>
            </w:r>
            <w:r>
              <w:br/>
              <w:t>Løsningsarkitekturen skal være kvalitetssikret i ejendomsdataprogrammet</w:t>
            </w:r>
          </w:p>
        </w:tc>
      </w:tr>
      <w:tr w:rsidR="00C74FBD" w:rsidTr="00AB794B">
        <w:trPr>
          <w:cantSplit/>
        </w:trPr>
        <w:tc>
          <w:tcPr>
            <w:tcW w:w="817" w:type="dxa"/>
            <w:tcBorders>
              <w:top w:val="nil"/>
              <w:left w:val="nil"/>
              <w:bottom w:val="nil"/>
              <w:right w:val="nil"/>
            </w:tcBorders>
          </w:tcPr>
          <w:p w:rsidR="00C74FBD" w:rsidRDefault="00C74FBD" w:rsidP="00354DE7">
            <w:pPr>
              <w:keepNext/>
              <w:spacing w:before="60"/>
            </w:pPr>
          </w:p>
        </w:tc>
        <w:tc>
          <w:tcPr>
            <w:tcW w:w="7828" w:type="dxa"/>
            <w:gridSpan w:val="2"/>
            <w:tcBorders>
              <w:top w:val="nil"/>
              <w:left w:val="nil"/>
              <w:bottom w:val="nil"/>
              <w:right w:val="nil"/>
            </w:tcBorders>
          </w:tcPr>
          <w:p w:rsidR="00C74FBD" w:rsidRDefault="00C74FBD" w:rsidP="00C74FBD">
            <w:pPr>
              <w:keepNext/>
              <w:spacing w:before="60"/>
            </w:pPr>
            <w:r>
              <w:t>Udbudsmateriale til Ejerfortegnelse</w:t>
            </w:r>
          </w:p>
        </w:tc>
      </w:tr>
      <w:tr w:rsidR="00C74FBD" w:rsidTr="00AB794B">
        <w:trPr>
          <w:cantSplit/>
        </w:trPr>
        <w:tc>
          <w:tcPr>
            <w:tcW w:w="817" w:type="dxa"/>
            <w:tcBorders>
              <w:top w:val="nil"/>
              <w:left w:val="nil"/>
              <w:bottom w:val="nil"/>
              <w:right w:val="nil"/>
            </w:tcBorders>
          </w:tcPr>
          <w:p w:rsidR="00C74FBD" w:rsidRDefault="00C74FBD" w:rsidP="00354DE7"/>
        </w:tc>
        <w:tc>
          <w:tcPr>
            <w:tcW w:w="7828" w:type="dxa"/>
            <w:gridSpan w:val="2"/>
            <w:tcBorders>
              <w:top w:val="nil"/>
              <w:left w:val="nil"/>
              <w:bottom w:val="nil"/>
              <w:right w:val="nil"/>
            </w:tcBorders>
          </w:tcPr>
          <w:p w:rsidR="00C74FBD" w:rsidRDefault="00C74FBD" w:rsidP="00354DE7">
            <w:pPr>
              <w:ind w:left="284"/>
              <w:jc w:val="left"/>
            </w:pPr>
            <w:r>
              <w:t>Kravspecifikation og øvrigt udbudsmateriale udarbejdet.</w:t>
            </w:r>
          </w:p>
          <w:p w:rsidR="00C74FBD" w:rsidRDefault="00C74FBD" w:rsidP="00C74FBD">
            <w:pPr>
              <w:ind w:left="284"/>
              <w:jc w:val="left"/>
            </w:pPr>
            <w:r>
              <w:t xml:space="preserve">Kravspecifikation – specielt den funktionelle del med use cases m.m. - </w:t>
            </w:r>
            <w:proofErr w:type="gramStart"/>
            <w:r>
              <w:t>kvalitetssikret</w:t>
            </w:r>
            <w:proofErr w:type="gramEnd"/>
            <w:r>
              <w:t xml:space="preserve"> i ejendomsdataprogrammet med fokus på snitflader.</w:t>
            </w:r>
          </w:p>
        </w:tc>
      </w:tr>
      <w:tr w:rsidR="00C74FBD" w:rsidTr="00AB794B">
        <w:trPr>
          <w:cantSplit/>
        </w:trPr>
        <w:tc>
          <w:tcPr>
            <w:tcW w:w="817" w:type="dxa"/>
            <w:tcBorders>
              <w:top w:val="nil"/>
              <w:left w:val="nil"/>
              <w:bottom w:val="nil"/>
              <w:right w:val="nil"/>
            </w:tcBorders>
          </w:tcPr>
          <w:p w:rsidR="00C74FBD" w:rsidRDefault="00C74FBD" w:rsidP="00354DE7">
            <w:pPr>
              <w:keepNext/>
              <w:spacing w:before="60"/>
            </w:pPr>
          </w:p>
        </w:tc>
        <w:tc>
          <w:tcPr>
            <w:tcW w:w="7828" w:type="dxa"/>
            <w:gridSpan w:val="2"/>
            <w:tcBorders>
              <w:top w:val="nil"/>
              <w:left w:val="nil"/>
              <w:bottom w:val="nil"/>
              <w:right w:val="nil"/>
            </w:tcBorders>
          </w:tcPr>
          <w:p w:rsidR="00C74FBD" w:rsidRDefault="00C74FBD" w:rsidP="00C74FBD">
            <w:pPr>
              <w:keepNext/>
              <w:spacing w:before="60"/>
            </w:pPr>
            <w:r>
              <w:t>Udbudsmateriale til udvidelse af BBR (BBR 2.0)</w:t>
            </w:r>
          </w:p>
        </w:tc>
      </w:tr>
      <w:tr w:rsidR="00C74FBD" w:rsidTr="00AB794B">
        <w:trPr>
          <w:cantSplit/>
        </w:trPr>
        <w:tc>
          <w:tcPr>
            <w:tcW w:w="817" w:type="dxa"/>
            <w:tcBorders>
              <w:top w:val="nil"/>
              <w:left w:val="nil"/>
              <w:bottom w:val="nil"/>
              <w:right w:val="nil"/>
            </w:tcBorders>
          </w:tcPr>
          <w:p w:rsidR="00C74FBD" w:rsidRDefault="00C74FBD" w:rsidP="00354DE7"/>
        </w:tc>
        <w:tc>
          <w:tcPr>
            <w:tcW w:w="7828" w:type="dxa"/>
            <w:gridSpan w:val="2"/>
            <w:tcBorders>
              <w:top w:val="nil"/>
              <w:left w:val="nil"/>
              <w:bottom w:val="nil"/>
              <w:right w:val="nil"/>
            </w:tcBorders>
          </w:tcPr>
          <w:p w:rsidR="00C74FBD" w:rsidRDefault="00C74FBD" w:rsidP="00354DE7">
            <w:pPr>
              <w:ind w:left="284"/>
              <w:jc w:val="left"/>
            </w:pPr>
            <w:r>
              <w:t>Beskrivelse Kravspecifikation og øvrigt udbudsmateriale udarbejdet.</w:t>
            </w:r>
          </w:p>
          <w:p w:rsidR="00C74FBD" w:rsidRDefault="00C74FBD" w:rsidP="00354DE7">
            <w:pPr>
              <w:ind w:left="284"/>
              <w:jc w:val="left"/>
            </w:pPr>
            <w:r>
              <w:t xml:space="preserve">Kravspecifikation – specielt den funktionelle del med use cases m.m. - </w:t>
            </w:r>
            <w:proofErr w:type="gramStart"/>
            <w:r>
              <w:t>kvalitetssikret</w:t>
            </w:r>
            <w:proofErr w:type="gramEnd"/>
            <w:r>
              <w:t xml:space="preserve"> i ejendomsdataprogrammet med fokus på snitflader.</w:t>
            </w:r>
          </w:p>
          <w:p w:rsidR="00C74FBD" w:rsidRDefault="00C74FBD" w:rsidP="00354DE7">
            <w:pPr>
              <w:ind w:left="284"/>
              <w:jc w:val="left"/>
            </w:pPr>
            <w:r>
              <w:t>Udbudsprocessen er igangsat, prækvalifikation gennemført.</w:t>
            </w:r>
          </w:p>
        </w:tc>
      </w:tr>
      <w:tr w:rsidR="00414AFE" w:rsidTr="00AB794B">
        <w:trPr>
          <w:cantSplit/>
        </w:trPr>
        <w:tc>
          <w:tcPr>
            <w:tcW w:w="817" w:type="dxa"/>
            <w:tcBorders>
              <w:top w:val="nil"/>
              <w:left w:val="nil"/>
              <w:bottom w:val="nil"/>
              <w:right w:val="nil"/>
            </w:tcBorders>
          </w:tcPr>
          <w:p w:rsidR="00414AFE" w:rsidRDefault="00414AFE" w:rsidP="00365379">
            <w:pPr>
              <w:keepNext/>
              <w:spacing w:before="60"/>
            </w:pPr>
          </w:p>
        </w:tc>
        <w:tc>
          <w:tcPr>
            <w:tcW w:w="7828" w:type="dxa"/>
            <w:gridSpan w:val="2"/>
            <w:tcBorders>
              <w:top w:val="nil"/>
              <w:left w:val="nil"/>
              <w:bottom w:val="nil"/>
              <w:right w:val="nil"/>
            </w:tcBorders>
          </w:tcPr>
          <w:p w:rsidR="00414AFE" w:rsidRDefault="00C74FBD" w:rsidP="00C74FBD">
            <w:pPr>
              <w:keepNext/>
              <w:spacing w:before="60"/>
            </w:pPr>
            <w:r>
              <w:t>Kravspecifikation ift. tilretninger i ESR</w:t>
            </w:r>
          </w:p>
        </w:tc>
      </w:tr>
      <w:tr w:rsidR="00414AFE" w:rsidTr="00AB794B">
        <w:trPr>
          <w:cantSplit/>
        </w:trPr>
        <w:tc>
          <w:tcPr>
            <w:tcW w:w="817" w:type="dxa"/>
            <w:tcBorders>
              <w:top w:val="nil"/>
              <w:left w:val="nil"/>
              <w:bottom w:val="nil"/>
              <w:right w:val="nil"/>
            </w:tcBorders>
          </w:tcPr>
          <w:p w:rsidR="00414AFE" w:rsidRDefault="00414AFE" w:rsidP="00365379"/>
        </w:tc>
        <w:tc>
          <w:tcPr>
            <w:tcW w:w="7828" w:type="dxa"/>
            <w:gridSpan w:val="2"/>
            <w:tcBorders>
              <w:top w:val="nil"/>
              <w:left w:val="nil"/>
              <w:bottom w:val="nil"/>
              <w:right w:val="nil"/>
            </w:tcBorders>
          </w:tcPr>
          <w:p w:rsidR="00414AFE" w:rsidRDefault="00C74FBD" w:rsidP="00C74FBD">
            <w:pPr>
              <w:ind w:left="284"/>
              <w:jc w:val="left"/>
            </w:pPr>
            <w:r>
              <w:t xml:space="preserve">Behovsafklaring ift. grunddataregistre gennemført og </w:t>
            </w:r>
            <w:r>
              <w:br/>
              <w:t>k</w:t>
            </w:r>
            <w:r w:rsidR="008850E1">
              <w:t>ravspecifikation udarbejdet</w:t>
            </w:r>
            <w:r>
              <w:t xml:space="preserve"> på baggrund heraf</w:t>
            </w:r>
            <w:r w:rsidR="008850E1">
              <w:t>.</w:t>
            </w:r>
          </w:p>
        </w:tc>
      </w:tr>
      <w:tr w:rsidR="00BA5D9E" w:rsidRPr="00596FDC" w:rsidTr="00AB794B">
        <w:trPr>
          <w:cantSplit/>
        </w:trPr>
        <w:tc>
          <w:tcPr>
            <w:tcW w:w="817" w:type="dxa"/>
            <w:tcBorders>
              <w:top w:val="nil"/>
              <w:left w:val="nil"/>
              <w:bottom w:val="nil"/>
              <w:right w:val="nil"/>
            </w:tcBorders>
          </w:tcPr>
          <w:p w:rsidR="00BA5D9E" w:rsidRPr="00596FDC" w:rsidRDefault="00BA5D9E" w:rsidP="00354DE7">
            <w:pPr>
              <w:keepNext/>
              <w:spacing w:before="240"/>
              <w:rPr>
                <w:b/>
              </w:rPr>
            </w:pPr>
            <w:r>
              <w:rPr>
                <w:b/>
              </w:rPr>
              <w:t>M 3</w:t>
            </w:r>
          </w:p>
        </w:tc>
        <w:tc>
          <w:tcPr>
            <w:tcW w:w="6379" w:type="dxa"/>
            <w:tcBorders>
              <w:top w:val="nil"/>
              <w:left w:val="nil"/>
              <w:bottom w:val="nil"/>
              <w:right w:val="nil"/>
            </w:tcBorders>
          </w:tcPr>
          <w:p w:rsidR="00BA5D9E" w:rsidRPr="00596FDC" w:rsidRDefault="00C74FBD" w:rsidP="00C74FBD">
            <w:pPr>
              <w:keepNext/>
              <w:spacing w:before="240"/>
              <w:jc w:val="left"/>
              <w:rPr>
                <w:b/>
              </w:rPr>
            </w:pPr>
            <w:r>
              <w:rPr>
                <w:b/>
              </w:rPr>
              <w:t>Udviklingskontrakt ift. Ejerfortegnelse og BBR</w:t>
            </w:r>
          </w:p>
        </w:tc>
        <w:tc>
          <w:tcPr>
            <w:tcW w:w="1449" w:type="dxa"/>
            <w:tcBorders>
              <w:top w:val="nil"/>
              <w:left w:val="nil"/>
              <w:bottom w:val="nil"/>
              <w:right w:val="nil"/>
            </w:tcBorders>
          </w:tcPr>
          <w:p w:rsidR="00BA5D9E" w:rsidRPr="00596FDC" w:rsidRDefault="00C74FBD" w:rsidP="00354DE7">
            <w:pPr>
              <w:keepNext/>
              <w:spacing w:before="240"/>
              <w:jc w:val="center"/>
              <w:rPr>
                <w:b/>
              </w:rPr>
            </w:pPr>
            <w:r>
              <w:rPr>
                <w:b/>
              </w:rPr>
              <w:t>Uge 27</w:t>
            </w:r>
            <w:r w:rsidR="00BA5D9E">
              <w:rPr>
                <w:b/>
              </w:rPr>
              <w:t xml:space="preserve"> 2015</w:t>
            </w:r>
          </w:p>
        </w:tc>
      </w:tr>
      <w:tr w:rsidR="00C74FBD" w:rsidTr="00AB794B">
        <w:trPr>
          <w:cantSplit/>
        </w:trPr>
        <w:tc>
          <w:tcPr>
            <w:tcW w:w="817" w:type="dxa"/>
            <w:tcBorders>
              <w:top w:val="nil"/>
              <w:left w:val="nil"/>
              <w:bottom w:val="nil"/>
              <w:right w:val="nil"/>
            </w:tcBorders>
          </w:tcPr>
          <w:p w:rsidR="00C74FBD" w:rsidRDefault="00C74FBD" w:rsidP="00354DE7">
            <w:pPr>
              <w:keepNext/>
              <w:spacing w:before="60"/>
            </w:pPr>
          </w:p>
        </w:tc>
        <w:tc>
          <w:tcPr>
            <w:tcW w:w="7828" w:type="dxa"/>
            <w:gridSpan w:val="2"/>
            <w:tcBorders>
              <w:top w:val="nil"/>
              <w:left w:val="nil"/>
              <w:bottom w:val="nil"/>
              <w:right w:val="nil"/>
            </w:tcBorders>
          </w:tcPr>
          <w:p w:rsidR="00C74FBD" w:rsidRDefault="00C74FBD" w:rsidP="00714A76">
            <w:pPr>
              <w:keepNext/>
              <w:spacing w:before="60"/>
            </w:pPr>
            <w:r>
              <w:t xml:space="preserve">Kontrakt med leverandør til </w:t>
            </w:r>
            <w:r w:rsidR="00714A76">
              <w:t>Ejerfortegnelse</w:t>
            </w:r>
          </w:p>
        </w:tc>
      </w:tr>
      <w:tr w:rsidR="00C74FBD" w:rsidTr="00AB794B">
        <w:trPr>
          <w:cantSplit/>
        </w:trPr>
        <w:tc>
          <w:tcPr>
            <w:tcW w:w="817" w:type="dxa"/>
            <w:tcBorders>
              <w:top w:val="nil"/>
              <w:left w:val="nil"/>
              <w:bottom w:val="nil"/>
              <w:right w:val="nil"/>
            </w:tcBorders>
          </w:tcPr>
          <w:p w:rsidR="00C74FBD" w:rsidRDefault="00C74FBD" w:rsidP="00354DE7"/>
        </w:tc>
        <w:tc>
          <w:tcPr>
            <w:tcW w:w="7828" w:type="dxa"/>
            <w:gridSpan w:val="2"/>
            <w:tcBorders>
              <w:top w:val="nil"/>
              <w:left w:val="nil"/>
              <w:bottom w:val="nil"/>
              <w:right w:val="nil"/>
            </w:tcBorders>
          </w:tcPr>
          <w:p w:rsidR="00C74FBD" w:rsidRDefault="00C74FBD" w:rsidP="00354DE7">
            <w:pPr>
              <w:ind w:left="284"/>
              <w:jc w:val="left"/>
            </w:pPr>
            <w:r>
              <w:t>Udbudsproces gennemført og der er indgået en kontrakt med den valgte leverandør.</w:t>
            </w:r>
          </w:p>
        </w:tc>
      </w:tr>
      <w:tr w:rsidR="00C74FBD" w:rsidTr="00AB794B">
        <w:trPr>
          <w:cantSplit/>
        </w:trPr>
        <w:tc>
          <w:tcPr>
            <w:tcW w:w="817" w:type="dxa"/>
            <w:tcBorders>
              <w:top w:val="nil"/>
              <w:left w:val="nil"/>
              <w:bottom w:val="nil"/>
              <w:right w:val="nil"/>
            </w:tcBorders>
          </w:tcPr>
          <w:p w:rsidR="00C74FBD" w:rsidRDefault="00C74FBD" w:rsidP="00354DE7">
            <w:pPr>
              <w:keepNext/>
              <w:spacing w:before="60"/>
            </w:pPr>
          </w:p>
        </w:tc>
        <w:tc>
          <w:tcPr>
            <w:tcW w:w="7828" w:type="dxa"/>
            <w:gridSpan w:val="2"/>
            <w:tcBorders>
              <w:top w:val="nil"/>
              <w:left w:val="nil"/>
              <w:bottom w:val="nil"/>
              <w:right w:val="nil"/>
            </w:tcBorders>
          </w:tcPr>
          <w:p w:rsidR="00C74FBD" w:rsidRDefault="00C74FBD" w:rsidP="00714A76">
            <w:pPr>
              <w:keepNext/>
              <w:spacing w:before="60"/>
            </w:pPr>
            <w:r>
              <w:t>Kontrakt med leverandør til udvidelse</w:t>
            </w:r>
            <w:r w:rsidR="00714A76">
              <w:t xml:space="preserve"> af BBR</w:t>
            </w:r>
          </w:p>
        </w:tc>
      </w:tr>
      <w:tr w:rsidR="00C74FBD" w:rsidTr="00AB794B">
        <w:trPr>
          <w:cantSplit/>
        </w:trPr>
        <w:tc>
          <w:tcPr>
            <w:tcW w:w="817" w:type="dxa"/>
            <w:tcBorders>
              <w:top w:val="nil"/>
              <w:left w:val="nil"/>
              <w:bottom w:val="nil"/>
              <w:right w:val="nil"/>
            </w:tcBorders>
          </w:tcPr>
          <w:p w:rsidR="00C74FBD" w:rsidRDefault="00C74FBD" w:rsidP="00354DE7"/>
        </w:tc>
        <w:tc>
          <w:tcPr>
            <w:tcW w:w="7828" w:type="dxa"/>
            <w:gridSpan w:val="2"/>
            <w:tcBorders>
              <w:top w:val="nil"/>
              <w:left w:val="nil"/>
              <w:bottom w:val="nil"/>
              <w:right w:val="nil"/>
            </w:tcBorders>
          </w:tcPr>
          <w:p w:rsidR="00C74FBD" w:rsidRDefault="00C74FBD" w:rsidP="00354DE7">
            <w:pPr>
              <w:ind w:left="284"/>
              <w:jc w:val="left"/>
            </w:pPr>
            <w:r>
              <w:t>Udbudsproces gennemført og der er indgået en kontrakt med den valgte leverandør.</w:t>
            </w:r>
          </w:p>
          <w:p w:rsidR="00714A76" w:rsidRDefault="00714A76" w:rsidP="00354DE7">
            <w:pPr>
              <w:ind w:left="284"/>
              <w:jc w:val="left"/>
            </w:pPr>
            <w:r>
              <w:t>Udviklingsprocessen igangsat.</w:t>
            </w:r>
          </w:p>
        </w:tc>
      </w:tr>
      <w:tr w:rsidR="00714A76" w:rsidTr="00AB794B">
        <w:trPr>
          <w:cantSplit/>
        </w:trPr>
        <w:tc>
          <w:tcPr>
            <w:tcW w:w="817" w:type="dxa"/>
            <w:tcBorders>
              <w:top w:val="nil"/>
              <w:left w:val="nil"/>
              <w:bottom w:val="nil"/>
              <w:right w:val="nil"/>
            </w:tcBorders>
          </w:tcPr>
          <w:p w:rsidR="00714A76" w:rsidRDefault="00714A76" w:rsidP="00354DE7">
            <w:pPr>
              <w:keepNext/>
              <w:spacing w:before="60"/>
            </w:pPr>
          </w:p>
        </w:tc>
        <w:tc>
          <w:tcPr>
            <w:tcW w:w="7828" w:type="dxa"/>
            <w:gridSpan w:val="2"/>
            <w:tcBorders>
              <w:top w:val="nil"/>
              <w:left w:val="nil"/>
              <w:bottom w:val="nil"/>
              <w:right w:val="nil"/>
            </w:tcBorders>
          </w:tcPr>
          <w:p w:rsidR="00714A76" w:rsidRDefault="00714A76" w:rsidP="00354DE7">
            <w:pPr>
              <w:keepNext/>
              <w:spacing w:before="60"/>
            </w:pPr>
            <w:r>
              <w:t>Udbudsmateriale til de nye økonomiløsninger.</w:t>
            </w:r>
          </w:p>
        </w:tc>
      </w:tr>
      <w:tr w:rsidR="00714A76" w:rsidTr="00AB794B">
        <w:trPr>
          <w:cantSplit/>
        </w:trPr>
        <w:tc>
          <w:tcPr>
            <w:tcW w:w="817" w:type="dxa"/>
            <w:tcBorders>
              <w:top w:val="nil"/>
              <w:left w:val="nil"/>
              <w:bottom w:val="nil"/>
              <w:right w:val="nil"/>
            </w:tcBorders>
          </w:tcPr>
          <w:p w:rsidR="00714A76" w:rsidRDefault="00714A76" w:rsidP="00354DE7"/>
        </w:tc>
        <w:tc>
          <w:tcPr>
            <w:tcW w:w="7828" w:type="dxa"/>
            <w:gridSpan w:val="2"/>
            <w:tcBorders>
              <w:top w:val="nil"/>
              <w:left w:val="nil"/>
              <w:bottom w:val="nil"/>
              <w:right w:val="nil"/>
            </w:tcBorders>
          </w:tcPr>
          <w:p w:rsidR="00714A76" w:rsidRDefault="00714A76" w:rsidP="00354DE7">
            <w:pPr>
              <w:ind w:left="284"/>
              <w:jc w:val="left"/>
            </w:pPr>
            <w:r>
              <w:t>Kravspecifikation og øvrigt udbudsmateriale udarbejdet.</w:t>
            </w:r>
          </w:p>
          <w:p w:rsidR="00714A76" w:rsidRDefault="00714A76" w:rsidP="00354DE7">
            <w:pPr>
              <w:ind w:left="284"/>
              <w:jc w:val="left"/>
            </w:pPr>
            <w:r>
              <w:t>Udbudsproces igangsat.</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7A1DA4" w:rsidP="007A1DA4">
            <w:pPr>
              <w:keepNext/>
              <w:spacing w:before="60"/>
            </w:pPr>
            <w:r>
              <w:t>Dataleveranceaftale ift. Matriklen</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7A1DA4">
            <w:pPr>
              <w:ind w:left="284"/>
              <w:jc w:val="left"/>
            </w:pPr>
            <w:r>
              <w:t>Dataleveranceaftale indgået med DAF-leverandør på baggrund af</w:t>
            </w:r>
            <w:r>
              <w:br/>
              <w:t>Datamodeller, transformationsregler, tjenestespecifikationer mv.</w:t>
            </w:r>
          </w:p>
        </w:tc>
      </w:tr>
      <w:tr w:rsidR="00BA5D9E" w:rsidRPr="00596FDC" w:rsidTr="00AB794B">
        <w:trPr>
          <w:cantSplit/>
        </w:trPr>
        <w:tc>
          <w:tcPr>
            <w:tcW w:w="817" w:type="dxa"/>
            <w:tcBorders>
              <w:top w:val="nil"/>
              <w:left w:val="nil"/>
              <w:bottom w:val="nil"/>
              <w:right w:val="nil"/>
            </w:tcBorders>
          </w:tcPr>
          <w:p w:rsidR="00BA5D9E" w:rsidRPr="00596FDC" w:rsidRDefault="00BA5D9E" w:rsidP="00354DE7">
            <w:pPr>
              <w:keepNext/>
              <w:spacing w:before="240"/>
              <w:rPr>
                <w:b/>
              </w:rPr>
            </w:pPr>
            <w:r>
              <w:rPr>
                <w:b/>
              </w:rPr>
              <w:t xml:space="preserve">M </w:t>
            </w:r>
            <w:r w:rsidR="00714A76">
              <w:rPr>
                <w:b/>
              </w:rPr>
              <w:t>4</w:t>
            </w:r>
          </w:p>
        </w:tc>
        <w:tc>
          <w:tcPr>
            <w:tcW w:w="6379" w:type="dxa"/>
            <w:tcBorders>
              <w:top w:val="nil"/>
              <w:left w:val="nil"/>
              <w:bottom w:val="nil"/>
              <w:right w:val="nil"/>
            </w:tcBorders>
          </w:tcPr>
          <w:p w:rsidR="00BA5D9E" w:rsidRPr="00596FDC" w:rsidRDefault="007A1DA4" w:rsidP="007A1DA4">
            <w:pPr>
              <w:keepNext/>
              <w:spacing w:before="240"/>
              <w:jc w:val="left"/>
              <w:rPr>
                <w:b/>
              </w:rPr>
            </w:pPr>
            <w:r>
              <w:rPr>
                <w:b/>
              </w:rPr>
              <w:t>Dataleveranceaftaler indgået</w:t>
            </w:r>
          </w:p>
        </w:tc>
        <w:tc>
          <w:tcPr>
            <w:tcW w:w="1449" w:type="dxa"/>
            <w:tcBorders>
              <w:top w:val="nil"/>
              <w:left w:val="nil"/>
              <w:bottom w:val="nil"/>
              <w:right w:val="nil"/>
            </w:tcBorders>
          </w:tcPr>
          <w:p w:rsidR="00BA5D9E" w:rsidRPr="00596FDC" w:rsidRDefault="00BA5D9E" w:rsidP="007A1DA4">
            <w:pPr>
              <w:keepNext/>
              <w:spacing w:before="240"/>
              <w:jc w:val="center"/>
              <w:rPr>
                <w:b/>
              </w:rPr>
            </w:pPr>
            <w:r>
              <w:rPr>
                <w:b/>
              </w:rPr>
              <w:t xml:space="preserve">Uge </w:t>
            </w:r>
            <w:r w:rsidR="007A1DA4">
              <w:rPr>
                <w:b/>
              </w:rPr>
              <w:t>40</w:t>
            </w:r>
            <w:r>
              <w:rPr>
                <w:b/>
              </w:rPr>
              <w:t xml:space="preserve"> 2015</w:t>
            </w:r>
          </w:p>
        </w:tc>
      </w:tr>
      <w:tr w:rsidR="00BA5D9E" w:rsidTr="00AB794B">
        <w:trPr>
          <w:cantSplit/>
        </w:trPr>
        <w:tc>
          <w:tcPr>
            <w:tcW w:w="817" w:type="dxa"/>
            <w:tcBorders>
              <w:top w:val="nil"/>
              <w:left w:val="nil"/>
              <w:bottom w:val="nil"/>
              <w:right w:val="nil"/>
            </w:tcBorders>
          </w:tcPr>
          <w:p w:rsidR="00BA5D9E" w:rsidRDefault="00BA5D9E" w:rsidP="00354DE7">
            <w:pPr>
              <w:keepNext/>
              <w:spacing w:before="60"/>
            </w:pPr>
          </w:p>
        </w:tc>
        <w:tc>
          <w:tcPr>
            <w:tcW w:w="7828" w:type="dxa"/>
            <w:gridSpan w:val="2"/>
            <w:tcBorders>
              <w:top w:val="nil"/>
              <w:left w:val="nil"/>
              <w:bottom w:val="nil"/>
              <w:right w:val="nil"/>
            </w:tcBorders>
          </w:tcPr>
          <w:p w:rsidR="00BA5D9E" w:rsidRDefault="007A1DA4" w:rsidP="007A1DA4">
            <w:pPr>
              <w:keepNext/>
              <w:spacing w:before="60"/>
            </w:pPr>
            <w:r>
              <w:t>Dataleveranceaftale ift. Ejerfortegnelsen</w:t>
            </w:r>
          </w:p>
        </w:tc>
      </w:tr>
      <w:tr w:rsidR="00BA5D9E" w:rsidTr="00AB794B">
        <w:trPr>
          <w:cantSplit/>
        </w:trPr>
        <w:tc>
          <w:tcPr>
            <w:tcW w:w="817" w:type="dxa"/>
            <w:tcBorders>
              <w:top w:val="nil"/>
              <w:left w:val="nil"/>
              <w:bottom w:val="nil"/>
              <w:right w:val="nil"/>
            </w:tcBorders>
          </w:tcPr>
          <w:p w:rsidR="00BA5D9E" w:rsidRDefault="00BA5D9E" w:rsidP="00354DE7"/>
        </w:tc>
        <w:tc>
          <w:tcPr>
            <w:tcW w:w="7828" w:type="dxa"/>
            <w:gridSpan w:val="2"/>
            <w:tcBorders>
              <w:top w:val="nil"/>
              <w:left w:val="nil"/>
              <w:bottom w:val="nil"/>
              <w:right w:val="nil"/>
            </w:tcBorders>
          </w:tcPr>
          <w:p w:rsidR="00BA5D9E" w:rsidRDefault="007A1DA4" w:rsidP="007A1DA4">
            <w:pPr>
              <w:ind w:left="284"/>
              <w:jc w:val="left"/>
            </w:pPr>
            <w:r>
              <w:t>Dataleveranceaftale indgået med DAF-leverandør på baggrund af</w:t>
            </w:r>
            <w:r>
              <w:br/>
              <w:t>Datamodeller, transformationsregler, tjenestespecifikationer mv.</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7A1DA4" w:rsidP="007A1DA4">
            <w:pPr>
              <w:keepNext/>
              <w:spacing w:before="60"/>
            </w:pPr>
            <w:r>
              <w:t>Dataleveranceaftale ift. BBR 2.0</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354DE7">
            <w:pPr>
              <w:ind w:left="284"/>
              <w:jc w:val="left"/>
            </w:pPr>
            <w:r>
              <w:t>Dataleveranceaftale indgået med DAF-leverandør på baggrund af</w:t>
            </w:r>
            <w:r>
              <w:br/>
              <w:t>Datamodeller, transformationsregler, tjenestespecifikationer mv.</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7A1DA4" w:rsidP="007A1DA4">
            <w:pPr>
              <w:keepNext/>
              <w:spacing w:before="60"/>
            </w:pPr>
            <w:r>
              <w:t>Kontrakt med leverandør til de nye økonomiløsninger</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354DE7">
            <w:pPr>
              <w:ind w:left="284"/>
              <w:jc w:val="left"/>
            </w:pPr>
            <w:r>
              <w:t>Udbudsproces gennemført og der er indgået en kontrakt med den valgte leverandør.</w:t>
            </w:r>
          </w:p>
        </w:tc>
      </w:tr>
      <w:tr w:rsidR="00BA5D9E" w:rsidRPr="00596FDC" w:rsidTr="00AB794B">
        <w:trPr>
          <w:cantSplit/>
        </w:trPr>
        <w:tc>
          <w:tcPr>
            <w:tcW w:w="817" w:type="dxa"/>
            <w:tcBorders>
              <w:top w:val="nil"/>
              <w:left w:val="nil"/>
              <w:bottom w:val="nil"/>
              <w:right w:val="nil"/>
            </w:tcBorders>
          </w:tcPr>
          <w:p w:rsidR="00BA5D9E" w:rsidRPr="00596FDC" w:rsidRDefault="00BA5D9E" w:rsidP="00354DE7">
            <w:pPr>
              <w:keepNext/>
              <w:spacing w:before="240"/>
              <w:rPr>
                <w:b/>
              </w:rPr>
            </w:pPr>
            <w:r>
              <w:rPr>
                <w:b/>
              </w:rPr>
              <w:t xml:space="preserve">M </w:t>
            </w:r>
            <w:r w:rsidR="00257ABE">
              <w:rPr>
                <w:b/>
              </w:rPr>
              <w:t>5</w:t>
            </w:r>
          </w:p>
        </w:tc>
        <w:tc>
          <w:tcPr>
            <w:tcW w:w="6379" w:type="dxa"/>
            <w:tcBorders>
              <w:top w:val="nil"/>
              <w:left w:val="nil"/>
              <w:bottom w:val="nil"/>
              <w:right w:val="nil"/>
            </w:tcBorders>
          </w:tcPr>
          <w:p w:rsidR="00BA5D9E" w:rsidRPr="00596FDC" w:rsidRDefault="007A1DA4" w:rsidP="007A1DA4">
            <w:pPr>
              <w:keepNext/>
              <w:spacing w:before="240"/>
              <w:jc w:val="left"/>
              <w:rPr>
                <w:b/>
              </w:rPr>
            </w:pPr>
            <w:r>
              <w:rPr>
                <w:b/>
              </w:rPr>
              <w:t>Grunddatasystemer klar til snitflade test</w:t>
            </w:r>
          </w:p>
        </w:tc>
        <w:tc>
          <w:tcPr>
            <w:tcW w:w="1449" w:type="dxa"/>
            <w:tcBorders>
              <w:top w:val="nil"/>
              <w:left w:val="nil"/>
              <w:bottom w:val="nil"/>
              <w:right w:val="nil"/>
            </w:tcBorders>
          </w:tcPr>
          <w:p w:rsidR="00BA5D9E" w:rsidRPr="00596FDC" w:rsidRDefault="007A1DA4" w:rsidP="00354DE7">
            <w:pPr>
              <w:keepNext/>
              <w:spacing w:before="240"/>
              <w:jc w:val="center"/>
              <w:rPr>
                <w:b/>
              </w:rPr>
            </w:pPr>
            <w:r>
              <w:rPr>
                <w:b/>
              </w:rPr>
              <w:t>Uge 53</w:t>
            </w:r>
            <w:r w:rsidR="00BA5D9E">
              <w:rPr>
                <w:b/>
              </w:rPr>
              <w:t xml:space="preserve"> 2015</w:t>
            </w:r>
          </w:p>
        </w:tc>
      </w:tr>
      <w:tr w:rsidR="00257ABE" w:rsidTr="00AB794B">
        <w:trPr>
          <w:cantSplit/>
        </w:trPr>
        <w:tc>
          <w:tcPr>
            <w:tcW w:w="817" w:type="dxa"/>
            <w:tcBorders>
              <w:top w:val="nil"/>
              <w:left w:val="nil"/>
              <w:bottom w:val="nil"/>
              <w:right w:val="nil"/>
            </w:tcBorders>
          </w:tcPr>
          <w:p w:rsidR="00257ABE" w:rsidRDefault="00257ABE" w:rsidP="00354DE7">
            <w:pPr>
              <w:keepNext/>
              <w:spacing w:before="60"/>
            </w:pPr>
          </w:p>
        </w:tc>
        <w:tc>
          <w:tcPr>
            <w:tcW w:w="7828" w:type="dxa"/>
            <w:gridSpan w:val="2"/>
            <w:tcBorders>
              <w:top w:val="nil"/>
              <w:left w:val="nil"/>
              <w:bottom w:val="nil"/>
              <w:right w:val="nil"/>
            </w:tcBorders>
          </w:tcPr>
          <w:p w:rsidR="00257ABE" w:rsidRDefault="00257ABE" w:rsidP="00257ABE">
            <w:pPr>
              <w:keepNext/>
              <w:spacing w:before="60"/>
            </w:pPr>
            <w:r>
              <w:t>Fælles testmiljøer etableret</w:t>
            </w:r>
          </w:p>
        </w:tc>
      </w:tr>
      <w:tr w:rsidR="00257ABE" w:rsidTr="00AB794B">
        <w:trPr>
          <w:cantSplit/>
        </w:trPr>
        <w:tc>
          <w:tcPr>
            <w:tcW w:w="817" w:type="dxa"/>
            <w:tcBorders>
              <w:top w:val="nil"/>
              <w:left w:val="nil"/>
              <w:bottom w:val="nil"/>
              <w:right w:val="nil"/>
            </w:tcBorders>
          </w:tcPr>
          <w:p w:rsidR="00257ABE" w:rsidRDefault="00257ABE" w:rsidP="00354DE7"/>
        </w:tc>
        <w:tc>
          <w:tcPr>
            <w:tcW w:w="7828" w:type="dxa"/>
            <w:gridSpan w:val="2"/>
            <w:tcBorders>
              <w:top w:val="nil"/>
              <w:left w:val="nil"/>
              <w:bottom w:val="nil"/>
              <w:right w:val="nil"/>
            </w:tcBorders>
          </w:tcPr>
          <w:p w:rsidR="00257ABE" w:rsidRDefault="00257ABE" w:rsidP="00257ABE">
            <w:pPr>
              <w:ind w:left="284"/>
              <w:jc w:val="left"/>
            </w:pPr>
            <w:r>
              <w:t>Testmiljøer til brug for tværgående test mellem to eller flere registre</w:t>
            </w:r>
            <w:r>
              <w:br/>
              <w:t>etableret – herunder testmiljøer på Datafordeleren.</w:t>
            </w:r>
          </w:p>
        </w:tc>
      </w:tr>
      <w:tr w:rsidR="00257ABE" w:rsidTr="00AB794B">
        <w:trPr>
          <w:cantSplit/>
        </w:trPr>
        <w:tc>
          <w:tcPr>
            <w:tcW w:w="817" w:type="dxa"/>
            <w:tcBorders>
              <w:top w:val="nil"/>
              <w:left w:val="nil"/>
              <w:bottom w:val="nil"/>
              <w:right w:val="nil"/>
            </w:tcBorders>
          </w:tcPr>
          <w:p w:rsidR="00257ABE" w:rsidRDefault="00257ABE" w:rsidP="00354DE7">
            <w:pPr>
              <w:keepNext/>
              <w:spacing w:before="60"/>
            </w:pPr>
          </w:p>
        </w:tc>
        <w:tc>
          <w:tcPr>
            <w:tcW w:w="7828" w:type="dxa"/>
            <w:gridSpan w:val="2"/>
            <w:tcBorders>
              <w:top w:val="nil"/>
              <w:left w:val="nil"/>
              <w:bottom w:val="nil"/>
              <w:right w:val="nil"/>
            </w:tcBorders>
          </w:tcPr>
          <w:p w:rsidR="00257ABE" w:rsidRDefault="00257ABE" w:rsidP="00257ABE">
            <w:pPr>
              <w:keepNext/>
              <w:spacing w:before="60"/>
            </w:pPr>
            <w:r>
              <w:t>Fælles testdata etableret</w:t>
            </w:r>
          </w:p>
        </w:tc>
      </w:tr>
      <w:tr w:rsidR="00257ABE" w:rsidTr="00AB794B">
        <w:trPr>
          <w:cantSplit/>
        </w:trPr>
        <w:tc>
          <w:tcPr>
            <w:tcW w:w="817" w:type="dxa"/>
            <w:tcBorders>
              <w:top w:val="nil"/>
              <w:left w:val="nil"/>
              <w:bottom w:val="nil"/>
              <w:right w:val="nil"/>
            </w:tcBorders>
          </w:tcPr>
          <w:p w:rsidR="00257ABE" w:rsidRDefault="00257ABE" w:rsidP="00354DE7"/>
        </w:tc>
        <w:tc>
          <w:tcPr>
            <w:tcW w:w="7828" w:type="dxa"/>
            <w:gridSpan w:val="2"/>
            <w:tcBorders>
              <w:top w:val="nil"/>
              <w:left w:val="nil"/>
              <w:bottom w:val="nil"/>
              <w:right w:val="nil"/>
            </w:tcBorders>
          </w:tcPr>
          <w:p w:rsidR="00257ABE" w:rsidRDefault="00257ABE" w:rsidP="00257ABE">
            <w:pPr>
              <w:ind w:left="284"/>
              <w:jc w:val="left"/>
            </w:pPr>
            <w:r>
              <w:t>Fælles anonymiserede testdata til brug i GD1 og GD2 etableret og</w:t>
            </w:r>
            <w:r>
              <w:br/>
              <w:t>klargjort til brug i den tværgående test.</w:t>
            </w:r>
          </w:p>
        </w:tc>
      </w:tr>
      <w:tr w:rsidR="00BA5D9E" w:rsidTr="00AB794B">
        <w:trPr>
          <w:cantSplit/>
        </w:trPr>
        <w:tc>
          <w:tcPr>
            <w:tcW w:w="817" w:type="dxa"/>
            <w:tcBorders>
              <w:top w:val="nil"/>
              <w:left w:val="nil"/>
              <w:bottom w:val="nil"/>
              <w:right w:val="nil"/>
            </w:tcBorders>
          </w:tcPr>
          <w:p w:rsidR="00BA5D9E" w:rsidRDefault="00BA5D9E" w:rsidP="00354DE7">
            <w:pPr>
              <w:keepNext/>
              <w:spacing w:before="60"/>
            </w:pPr>
          </w:p>
        </w:tc>
        <w:tc>
          <w:tcPr>
            <w:tcW w:w="7828" w:type="dxa"/>
            <w:gridSpan w:val="2"/>
            <w:tcBorders>
              <w:top w:val="nil"/>
              <w:left w:val="nil"/>
              <w:bottom w:val="nil"/>
              <w:right w:val="nil"/>
            </w:tcBorders>
          </w:tcPr>
          <w:p w:rsidR="00BA5D9E" w:rsidRDefault="007A1DA4" w:rsidP="007A1DA4">
            <w:pPr>
              <w:keepNext/>
              <w:spacing w:before="60"/>
            </w:pPr>
            <w:r>
              <w:t>Matriklens udvidelse testet internt</w:t>
            </w:r>
          </w:p>
        </w:tc>
      </w:tr>
      <w:tr w:rsidR="00BA5D9E" w:rsidTr="00AB794B">
        <w:trPr>
          <w:cantSplit/>
        </w:trPr>
        <w:tc>
          <w:tcPr>
            <w:tcW w:w="817" w:type="dxa"/>
            <w:tcBorders>
              <w:top w:val="nil"/>
              <w:left w:val="nil"/>
              <w:bottom w:val="nil"/>
              <w:right w:val="nil"/>
            </w:tcBorders>
          </w:tcPr>
          <w:p w:rsidR="00BA5D9E" w:rsidRDefault="00BA5D9E" w:rsidP="00354DE7"/>
        </w:tc>
        <w:tc>
          <w:tcPr>
            <w:tcW w:w="7828" w:type="dxa"/>
            <w:gridSpan w:val="2"/>
            <w:tcBorders>
              <w:top w:val="nil"/>
              <w:left w:val="nil"/>
              <w:bottom w:val="nil"/>
              <w:right w:val="nil"/>
            </w:tcBorders>
          </w:tcPr>
          <w:p w:rsidR="004E32BD" w:rsidRDefault="004E32BD" w:rsidP="007A1DA4">
            <w:pPr>
              <w:ind w:left="284"/>
              <w:jc w:val="left"/>
            </w:pPr>
            <w:r>
              <w:t xml:space="preserve">Udvikling og test </w:t>
            </w:r>
            <w:r w:rsidR="007A1DA4">
              <w:t xml:space="preserve">gennemført internt i projektet. </w:t>
            </w:r>
          </w:p>
          <w:p w:rsidR="00BA5D9E" w:rsidRDefault="007A1DA4" w:rsidP="007A1DA4">
            <w:pPr>
              <w:ind w:left="284"/>
              <w:jc w:val="left"/>
            </w:pPr>
            <w:r>
              <w:t>Systemet klargjort til snitfladetest.</w:t>
            </w:r>
            <w:r w:rsidR="004E32BD">
              <w:t xml:space="preserve"> </w:t>
            </w:r>
            <w:r w:rsidR="004E32BD" w:rsidRPr="004E32BD">
              <w:rPr>
                <w:highlight w:val="yellow"/>
              </w:rPr>
              <w:t>(NB! Muligvis først klar 1.2.2016)</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4E32BD" w:rsidP="004E32BD">
            <w:pPr>
              <w:keepNext/>
              <w:spacing w:before="60"/>
            </w:pPr>
            <w:r>
              <w:t xml:space="preserve">Matriklens </w:t>
            </w:r>
            <w:r w:rsidR="007A1DA4">
              <w:t>DAF-tjenester</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7A1DA4">
            <w:pPr>
              <w:ind w:left="284"/>
              <w:jc w:val="left"/>
            </w:pPr>
            <w:r>
              <w:t>Grunddataregistrets DAF-tjenester udviklet, testet og godkendt af</w:t>
            </w:r>
            <w:r>
              <w:br/>
              <w:t>Registeransvarlig.</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7A1DA4" w:rsidP="00354DE7">
            <w:pPr>
              <w:keepNext/>
              <w:spacing w:before="60"/>
            </w:pPr>
            <w:r>
              <w:t>Ejerfortegnelse testet internt</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4E32BD" w:rsidRDefault="004E32BD" w:rsidP="00354DE7">
            <w:pPr>
              <w:ind w:left="284"/>
              <w:jc w:val="left"/>
            </w:pPr>
            <w:r>
              <w:t xml:space="preserve">Udvikling og test </w:t>
            </w:r>
            <w:r w:rsidR="007A1DA4">
              <w:t xml:space="preserve">gennemført internt i projektet. </w:t>
            </w:r>
          </w:p>
          <w:p w:rsidR="007A1DA4" w:rsidRDefault="007A1DA4" w:rsidP="00354DE7">
            <w:pPr>
              <w:ind w:left="284"/>
              <w:jc w:val="left"/>
            </w:pPr>
            <w:r>
              <w:t>Systemet klargjort til snitfladetest.</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7A1DA4" w:rsidP="00354DE7">
            <w:pPr>
              <w:keepNext/>
              <w:spacing w:before="60"/>
            </w:pPr>
            <w:r>
              <w:t>Ejerfortegnelsens DAF-tjenester</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354DE7">
            <w:pPr>
              <w:ind w:left="284"/>
              <w:jc w:val="left"/>
            </w:pPr>
            <w:r>
              <w:t>Grunddataregistrets DAF-tjenester udviklet, testet og godkendt af</w:t>
            </w:r>
            <w:r>
              <w:br/>
              <w:t>Registeransvarlig.</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4E32BD" w:rsidP="004E32BD">
            <w:pPr>
              <w:keepNext/>
              <w:spacing w:before="60"/>
            </w:pPr>
            <w:r>
              <w:t xml:space="preserve">BBR 2.0 </w:t>
            </w:r>
            <w:r w:rsidR="007A1DA4">
              <w:t>testet internt</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4E32BD" w:rsidRDefault="004E32BD" w:rsidP="00354DE7">
            <w:pPr>
              <w:ind w:left="284"/>
              <w:jc w:val="left"/>
            </w:pPr>
            <w:r>
              <w:t xml:space="preserve">Udvikling og test </w:t>
            </w:r>
            <w:r w:rsidR="007A1DA4">
              <w:t xml:space="preserve">gennemført internt i projektet. </w:t>
            </w:r>
          </w:p>
          <w:p w:rsidR="007A1DA4" w:rsidRDefault="007A1DA4" w:rsidP="00354DE7">
            <w:pPr>
              <w:ind w:left="284"/>
              <w:jc w:val="left"/>
            </w:pPr>
            <w:r>
              <w:t>Systemet klargjort til snitfladetest.</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4E32BD" w:rsidP="004E32BD">
            <w:pPr>
              <w:keepNext/>
              <w:spacing w:before="60"/>
            </w:pPr>
            <w:r>
              <w:t>BBR</w:t>
            </w:r>
            <w:r w:rsidR="007A1DA4">
              <w:t xml:space="preserve"> DAF-tjenester</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7A1DA4" w:rsidP="00354DE7">
            <w:pPr>
              <w:ind w:left="284"/>
              <w:jc w:val="left"/>
            </w:pPr>
            <w:r>
              <w:t>Grunddataregistrets DAF-tjenester udviklet, testet og godkendt af</w:t>
            </w:r>
            <w:r>
              <w:br/>
              <w:t>Registeransvarlig.</w:t>
            </w:r>
          </w:p>
        </w:tc>
      </w:tr>
      <w:tr w:rsidR="007A1DA4" w:rsidTr="00AB794B">
        <w:trPr>
          <w:cantSplit/>
        </w:trPr>
        <w:tc>
          <w:tcPr>
            <w:tcW w:w="817" w:type="dxa"/>
            <w:tcBorders>
              <w:top w:val="nil"/>
              <w:left w:val="nil"/>
              <w:bottom w:val="nil"/>
              <w:right w:val="nil"/>
            </w:tcBorders>
          </w:tcPr>
          <w:p w:rsidR="007A1DA4" w:rsidRDefault="007A1DA4" w:rsidP="00354DE7">
            <w:pPr>
              <w:keepNext/>
              <w:spacing w:before="60"/>
            </w:pPr>
          </w:p>
        </w:tc>
        <w:tc>
          <w:tcPr>
            <w:tcW w:w="7828" w:type="dxa"/>
            <w:gridSpan w:val="2"/>
            <w:tcBorders>
              <w:top w:val="nil"/>
              <w:left w:val="nil"/>
              <w:bottom w:val="nil"/>
              <w:right w:val="nil"/>
            </w:tcBorders>
          </w:tcPr>
          <w:p w:rsidR="007A1DA4" w:rsidRDefault="00257ABE" w:rsidP="00257ABE">
            <w:pPr>
              <w:keepNext/>
              <w:spacing w:before="60"/>
            </w:pPr>
            <w:r>
              <w:t>SKAT vurderingsoplysninger</w:t>
            </w:r>
            <w:r w:rsidR="007A1DA4">
              <w:t xml:space="preserve"> DAF-tjenester</w:t>
            </w:r>
          </w:p>
        </w:tc>
      </w:tr>
      <w:tr w:rsidR="007A1DA4" w:rsidTr="00AB794B">
        <w:trPr>
          <w:cantSplit/>
        </w:trPr>
        <w:tc>
          <w:tcPr>
            <w:tcW w:w="817" w:type="dxa"/>
            <w:tcBorders>
              <w:top w:val="nil"/>
              <w:left w:val="nil"/>
              <w:bottom w:val="nil"/>
              <w:right w:val="nil"/>
            </w:tcBorders>
          </w:tcPr>
          <w:p w:rsidR="007A1DA4" w:rsidRDefault="007A1DA4" w:rsidP="00354DE7"/>
        </w:tc>
        <w:tc>
          <w:tcPr>
            <w:tcW w:w="7828" w:type="dxa"/>
            <w:gridSpan w:val="2"/>
            <w:tcBorders>
              <w:top w:val="nil"/>
              <w:left w:val="nil"/>
              <w:bottom w:val="nil"/>
              <w:right w:val="nil"/>
            </w:tcBorders>
          </w:tcPr>
          <w:p w:rsidR="007A1DA4" w:rsidRDefault="00257ABE" w:rsidP="00257ABE">
            <w:pPr>
              <w:ind w:left="284"/>
              <w:jc w:val="left"/>
            </w:pPr>
            <w:r>
              <w:t>DAF-tjenester til udstilling af vurderingsoplysninger udviklet, testet</w:t>
            </w:r>
            <w:r>
              <w:br/>
            </w:r>
            <w:r w:rsidR="007A1DA4">
              <w:t>og godkendt af</w:t>
            </w:r>
            <w:r>
              <w:t xml:space="preserve"> </w:t>
            </w:r>
            <w:r w:rsidR="007A1DA4">
              <w:t>Registeransvarlig.</w:t>
            </w:r>
          </w:p>
        </w:tc>
      </w:tr>
      <w:tr w:rsidR="00BA5D9E" w:rsidTr="00AB794B">
        <w:trPr>
          <w:cantSplit/>
        </w:trPr>
        <w:tc>
          <w:tcPr>
            <w:tcW w:w="817" w:type="dxa"/>
            <w:tcBorders>
              <w:top w:val="nil"/>
              <w:left w:val="nil"/>
              <w:bottom w:val="nil"/>
              <w:right w:val="nil"/>
            </w:tcBorders>
          </w:tcPr>
          <w:p w:rsidR="00BA5D9E" w:rsidRDefault="00BA5D9E" w:rsidP="00354DE7">
            <w:pPr>
              <w:keepNext/>
              <w:spacing w:before="60"/>
            </w:pPr>
          </w:p>
        </w:tc>
        <w:tc>
          <w:tcPr>
            <w:tcW w:w="7828" w:type="dxa"/>
            <w:gridSpan w:val="2"/>
            <w:tcBorders>
              <w:top w:val="nil"/>
              <w:left w:val="nil"/>
              <w:bottom w:val="nil"/>
              <w:right w:val="nil"/>
            </w:tcBorders>
          </w:tcPr>
          <w:p w:rsidR="00BA5D9E" w:rsidRDefault="00354DE7" w:rsidP="00354DE7">
            <w:pPr>
              <w:keepNext/>
              <w:spacing w:before="60"/>
            </w:pPr>
            <w:r>
              <w:t>Tinglysning klar til anvendelse af BFE-nummer</w:t>
            </w:r>
          </w:p>
        </w:tc>
      </w:tr>
      <w:tr w:rsidR="00BA5D9E" w:rsidTr="00AB794B">
        <w:trPr>
          <w:cantSplit/>
        </w:trPr>
        <w:tc>
          <w:tcPr>
            <w:tcW w:w="817" w:type="dxa"/>
            <w:tcBorders>
              <w:top w:val="nil"/>
              <w:left w:val="nil"/>
              <w:bottom w:val="nil"/>
              <w:right w:val="nil"/>
            </w:tcBorders>
          </w:tcPr>
          <w:p w:rsidR="00BA5D9E" w:rsidRDefault="00BA5D9E" w:rsidP="00354DE7"/>
        </w:tc>
        <w:tc>
          <w:tcPr>
            <w:tcW w:w="7828" w:type="dxa"/>
            <w:gridSpan w:val="2"/>
            <w:tcBorders>
              <w:top w:val="nil"/>
              <w:left w:val="nil"/>
              <w:bottom w:val="nil"/>
              <w:right w:val="nil"/>
            </w:tcBorders>
          </w:tcPr>
          <w:p w:rsidR="00BA5D9E" w:rsidRDefault="00354DE7" w:rsidP="00354DE7">
            <w:pPr>
              <w:ind w:left="284"/>
              <w:jc w:val="left"/>
            </w:pPr>
            <w:r>
              <w:t>Elektronisk Tinglysning tilrettet således at tinglyste ejendomme</w:t>
            </w:r>
            <w:r>
              <w:br/>
              <w:t xml:space="preserve">fremadrettet kan tilknyttes BFE-nummer som identifikation. </w:t>
            </w:r>
          </w:p>
        </w:tc>
      </w:tr>
      <w:tr w:rsidR="00BA5D9E" w:rsidRPr="00596FDC" w:rsidTr="00AB794B">
        <w:trPr>
          <w:cantSplit/>
        </w:trPr>
        <w:tc>
          <w:tcPr>
            <w:tcW w:w="817" w:type="dxa"/>
            <w:tcBorders>
              <w:top w:val="nil"/>
              <w:left w:val="nil"/>
              <w:bottom w:val="nil"/>
              <w:right w:val="nil"/>
            </w:tcBorders>
          </w:tcPr>
          <w:p w:rsidR="00BA5D9E" w:rsidRPr="00596FDC" w:rsidRDefault="00BA5D9E" w:rsidP="00354DE7">
            <w:pPr>
              <w:keepNext/>
              <w:spacing w:before="240"/>
              <w:rPr>
                <w:b/>
              </w:rPr>
            </w:pPr>
            <w:r>
              <w:rPr>
                <w:b/>
              </w:rPr>
              <w:t xml:space="preserve">M </w:t>
            </w:r>
            <w:r w:rsidR="00257ABE">
              <w:rPr>
                <w:b/>
              </w:rPr>
              <w:t>6</w:t>
            </w:r>
          </w:p>
        </w:tc>
        <w:tc>
          <w:tcPr>
            <w:tcW w:w="6379" w:type="dxa"/>
            <w:tcBorders>
              <w:top w:val="nil"/>
              <w:left w:val="nil"/>
              <w:bottom w:val="nil"/>
              <w:right w:val="nil"/>
            </w:tcBorders>
          </w:tcPr>
          <w:p w:rsidR="00BA5D9E" w:rsidRPr="00596FDC" w:rsidRDefault="00257ABE" w:rsidP="00257ABE">
            <w:pPr>
              <w:keepNext/>
              <w:spacing w:before="240"/>
              <w:jc w:val="left"/>
              <w:rPr>
                <w:b/>
              </w:rPr>
            </w:pPr>
            <w:r>
              <w:rPr>
                <w:b/>
              </w:rPr>
              <w:t>Snitflader godkendt</w:t>
            </w:r>
          </w:p>
        </w:tc>
        <w:tc>
          <w:tcPr>
            <w:tcW w:w="1449" w:type="dxa"/>
            <w:tcBorders>
              <w:top w:val="nil"/>
              <w:left w:val="nil"/>
              <w:bottom w:val="nil"/>
              <w:right w:val="nil"/>
            </w:tcBorders>
          </w:tcPr>
          <w:p w:rsidR="00BA5D9E" w:rsidRPr="00596FDC" w:rsidRDefault="00354DE7" w:rsidP="00354DE7">
            <w:pPr>
              <w:keepNext/>
              <w:spacing w:before="240"/>
              <w:jc w:val="center"/>
              <w:rPr>
                <w:b/>
              </w:rPr>
            </w:pPr>
            <w:r>
              <w:rPr>
                <w:b/>
              </w:rPr>
              <w:t>Uge 9</w:t>
            </w:r>
            <w:r w:rsidR="00BA5D9E">
              <w:rPr>
                <w:b/>
              </w:rPr>
              <w:t xml:space="preserve"> 201</w:t>
            </w:r>
            <w:r>
              <w:rPr>
                <w:b/>
              </w:rPr>
              <w:t>6</w:t>
            </w:r>
          </w:p>
        </w:tc>
      </w:tr>
      <w:tr w:rsidR="00BA5D9E" w:rsidTr="00AB794B">
        <w:trPr>
          <w:cantSplit/>
        </w:trPr>
        <w:tc>
          <w:tcPr>
            <w:tcW w:w="817" w:type="dxa"/>
            <w:tcBorders>
              <w:top w:val="nil"/>
              <w:left w:val="nil"/>
              <w:bottom w:val="nil"/>
              <w:right w:val="nil"/>
            </w:tcBorders>
          </w:tcPr>
          <w:p w:rsidR="00BA5D9E" w:rsidRDefault="00BA5D9E" w:rsidP="00354DE7">
            <w:pPr>
              <w:keepNext/>
              <w:spacing w:before="60"/>
            </w:pPr>
          </w:p>
        </w:tc>
        <w:tc>
          <w:tcPr>
            <w:tcW w:w="7828" w:type="dxa"/>
            <w:gridSpan w:val="2"/>
            <w:tcBorders>
              <w:top w:val="nil"/>
              <w:left w:val="nil"/>
              <w:bottom w:val="nil"/>
              <w:right w:val="nil"/>
            </w:tcBorders>
          </w:tcPr>
          <w:p w:rsidR="00BA5D9E" w:rsidRDefault="00354DE7" w:rsidP="00354DE7">
            <w:pPr>
              <w:keepNext/>
              <w:spacing w:before="60"/>
            </w:pPr>
            <w:r>
              <w:t>Alle snitflader i GD1 testet og godkendt</w:t>
            </w:r>
          </w:p>
        </w:tc>
      </w:tr>
      <w:tr w:rsidR="00BA5D9E" w:rsidTr="00AB794B">
        <w:trPr>
          <w:cantSplit/>
        </w:trPr>
        <w:tc>
          <w:tcPr>
            <w:tcW w:w="817" w:type="dxa"/>
            <w:tcBorders>
              <w:top w:val="nil"/>
              <w:left w:val="nil"/>
              <w:bottom w:val="nil"/>
              <w:right w:val="nil"/>
            </w:tcBorders>
          </w:tcPr>
          <w:p w:rsidR="00BA5D9E" w:rsidRDefault="00BA5D9E" w:rsidP="00354DE7"/>
        </w:tc>
        <w:tc>
          <w:tcPr>
            <w:tcW w:w="7828" w:type="dxa"/>
            <w:gridSpan w:val="2"/>
            <w:tcBorders>
              <w:top w:val="nil"/>
              <w:left w:val="nil"/>
              <w:bottom w:val="nil"/>
              <w:right w:val="nil"/>
            </w:tcBorders>
          </w:tcPr>
          <w:p w:rsidR="00354DE7" w:rsidRDefault="00354DE7" w:rsidP="00354DE7">
            <w:pPr>
              <w:ind w:left="284"/>
              <w:jc w:val="left"/>
            </w:pPr>
            <w:r>
              <w:t>Alle snitflader mellem Matriklen, Ejerfortegnelsen, BBR og DAR</w:t>
            </w:r>
          </w:p>
          <w:p w:rsidR="00BA5D9E" w:rsidRDefault="00354DE7" w:rsidP="00354DE7">
            <w:pPr>
              <w:ind w:left="284"/>
              <w:jc w:val="left"/>
            </w:pPr>
            <w:r>
              <w:t>testet og godkendt med ”live-integrationer”.</w:t>
            </w:r>
          </w:p>
        </w:tc>
      </w:tr>
      <w:tr w:rsidR="00BA5D9E" w:rsidRPr="00596FDC" w:rsidTr="00AB794B">
        <w:trPr>
          <w:cantSplit/>
        </w:trPr>
        <w:tc>
          <w:tcPr>
            <w:tcW w:w="817" w:type="dxa"/>
            <w:tcBorders>
              <w:top w:val="nil"/>
              <w:left w:val="nil"/>
              <w:bottom w:val="nil"/>
              <w:right w:val="nil"/>
            </w:tcBorders>
          </w:tcPr>
          <w:p w:rsidR="00BA5D9E" w:rsidRPr="00596FDC" w:rsidRDefault="00BA5D9E" w:rsidP="00354DE7">
            <w:pPr>
              <w:keepNext/>
              <w:spacing w:before="240"/>
              <w:rPr>
                <w:b/>
              </w:rPr>
            </w:pPr>
            <w:r>
              <w:rPr>
                <w:b/>
              </w:rPr>
              <w:t xml:space="preserve">M </w:t>
            </w:r>
            <w:r w:rsidR="002D1302">
              <w:rPr>
                <w:b/>
              </w:rPr>
              <w:t>7</w:t>
            </w:r>
          </w:p>
        </w:tc>
        <w:tc>
          <w:tcPr>
            <w:tcW w:w="6379" w:type="dxa"/>
            <w:tcBorders>
              <w:top w:val="nil"/>
              <w:left w:val="nil"/>
              <w:bottom w:val="nil"/>
              <w:right w:val="nil"/>
            </w:tcBorders>
          </w:tcPr>
          <w:p w:rsidR="00BA5D9E" w:rsidRPr="00596FDC" w:rsidRDefault="00354DE7" w:rsidP="00354DE7">
            <w:pPr>
              <w:keepNext/>
              <w:spacing w:before="240"/>
              <w:jc w:val="left"/>
              <w:rPr>
                <w:b/>
              </w:rPr>
            </w:pPr>
            <w:r>
              <w:rPr>
                <w:b/>
              </w:rPr>
              <w:t>Sammenhængende test godkendt</w:t>
            </w:r>
          </w:p>
        </w:tc>
        <w:tc>
          <w:tcPr>
            <w:tcW w:w="1449" w:type="dxa"/>
            <w:tcBorders>
              <w:top w:val="nil"/>
              <w:left w:val="nil"/>
              <w:bottom w:val="nil"/>
              <w:right w:val="nil"/>
            </w:tcBorders>
          </w:tcPr>
          <w:p w:rsidR="00BA5D9E" w:rsidRPr="00596FDC" w:rsidRDefault="00AB794B" w:rsidP="00354DE7">
            <w:pPr>
              <w:keepNext/>
              <w:spacing w:before="240"/>
              <w:jc w:val="center"/>
              <w:rPr>
                <w:b/>
              </w:rPr>
            </w:pPr>
            <w:r>
              <w:rPr>
                <w:b/>
              </w:rPr>
              <w:t>Uge 34</w:t>
            </w:r>
            <w:r w:rsidR="00BA5D9E">
              <w:rPr>
                <w:b/>
              </w:rPr>
              <w:t xml:space="preserve"> 201</w:t>
            </w:r>
            <w:r>
              <w:rPr>
                <w:b/>
              </w:rPr>
              <w:t>6</w:t>
            </w:r>
          </w:p>
        </w:tc>
      </w:tr>
      <w:tr w:rsidR="00BA5D9E" w:rsidTr="00AB794B">
        <w:trPr>
          <w:cantSplit/>
        </w:trPr>
        <w:tc>
          <w:tcPr>
            <w:tcW w:w="817" w:type="dxa"/>
            <w:tcBorders>
              <w:top w:val="nil"/>
              <w:left w:val="nil"/>
              <w:bottom w:val="nil"/>
              <w:right w:val="nil"/>
            </w:tcBorders>
          </w:tcPr>
          <w:p w:rsidR="00BA5D9E" w:rsidRDefault="00BA5D9E" w:rsidP="00354DE7">
            <w:pPr>
              <w:keepNext/>
              <w:spacing w:before="60"/>
            </w:pPr>
          </w:p>
        </w:tc>
        <w:tc>
          <w:tcPr>
            <w:tcW w:w="7828" w:type="dxa"/>
            <w:gridSpan w:val="2"/>
            <w:tcBorders>
              <w:top w:val="nil"/>
              <w:left w:val="nil"/>
              <w:bottom w:val="nil"/>
              <w:right w:val="nil"/>
            </w:tcBorders>
          </w:tcPr>
          <w:p w:rsidR="00BA5D9E" w:rsidRDefault="00354DE7" w:rsidP="00354DE7">
            <w:pPr>
              <w:keepNext/>
              <w:spacing w:before="60"/>
            </w:pPr>
            <w:r>
              <w:t>Godkendt testrapport i relation til Matriklens udvidelse.</w:t>
            </w:r>
          </w:p>
        </w:tc>
      </w:tr>
      <w:tr w:rsidR="00BA5D9E" w:rsidTr="00AB794B">
        <w:trPr>
          <w:cantSplit/>
        </w:trPr>
        <w:tc>
          <w:tcPr>
            <w:tcW w:w="817" w:type="dxa"/>
            <w:tcBorders>
              <w:top w:val="nil"/>
              <w:left w:val="nil"/>
              <w:bottom w:val="nil"/>
              <w:right w:val="nil"/>
            </w:tcBorders>
          </w:tcPr>
          <w:p w:rsidR="00BA5D9E" w:rsidRDefault="00BA5D9E" w:rsidP="00354DE7"/>
        </w:tc>
        <w:tc>
          <w:tcPr>
            <w:tcW w:w="7828" w:type="dxa"/>
            <w:gridSpan w:val="2"/>
            <w:tcBorders>
              <w:top w:val="nil"/>
              <w:left w:val="nil"/>
              <w:bottom w:val="nil"/>
              <w:right w:val="nil"/>
            </w:tcBorders>
          </w:tcPr>
          <w:p w:rsidR="00BA5D9E" w:rsidRDefault="00354DE7" w:rsidP="00354DE7">
            <w:pPr>
              <w:ind w:left="284"/>
              <w:jc w:val="left"/>
            </w:pPr>
            <w:r>
              <w:t>Test i grunddatasystemet gennemført med tilfredsstillende resultat.</w:t>
            </w:r>
          </w:p>
        </w:tc>
      </w:tr>
      <w:tr w:rsidR="00354DE7" w:rsidTr="00AB794B">
        <w:trPr>
          <w:cantSplit/>
        </w:trPr>
        <w:tc>
          <w:tcPr>
            <w:tcW w:w="817" w:type="dxa"/>
            <w:tcBorders>
              <w:top w:val="nil"/>
              <w:left w:val="nil"/>
              <w:bottom w:val="nil"/>
              <w:right w:val="nil"/>
            </w:tcBorders>
          </w:tcPr>
          <w:p w:rsidR="00354DE7" w:rsidRDefault="00354DE7" w:rsidP="00354DE7">
            <w:pPr>
              <w:keepNext/>
              <w:spacing w:before="60"/>
            </w:pPr>
          </w:p>
        </w:tc>
        <w:tc>
          <w:tcPr>
            <w:tcW w:w="7828" w:type="dxa"/>
            <w:gridSpan w:val="2"/>
            <w:tcBorders>
              <w:top w:val="nil"/>
              <w:left w:val="nil"/>
              <w:bottom w:val="nil"/>
              <w:right w:val="nil"/>
            </w:tcBorders>
          </w:tcPr>
          <w:p w:rsidR="00354DE7" w:rsidRDefault="00354DE7" w:rsidP="00354DE7">
            <w:pPr>
              <w:keepNext/>
              <w:spacing w:before="60"/>
            </w:pPr>
            <w:r>
              <w:t>Godkendt testrapport i relation til Ejerfortegnelsen.</w:t>
            </w:r>
          </w:p>
        </w:tc>
      </w:tr>
      <w:tr w:rsidR="00354DE7" w:rsidTr="00AB794B">
        <w:trPr>
          <w:cantSplit/>
        </w:trPr>
        <w:tc>
          <w:tcPr>
            <w:tcW w:w="817" w:type="dxa"/>
            <w:tcBorders>
              <w:top w:val="nil"/>
              <w:left w:val="nil"/>
              <w:bottom w:val="nil"/>
              <w:right w:val="nil"/>
            </w:tcBorders>
          </w:tcPr>
          <w:p w:rsidR="00354DE7" w:rsidRDefault="00354DE7" w:rsidP="00354DE7"/>
        </w:tc>
        <w:tc>
          <w:tcPr>
            <w:tcW w:w="7828" w:type="dxa"/>
            <w:gridSpan w:val="2"/>
            <w:tcBorders>
              <w:top w:val="nil"/>
              <w:left w:val="nil"/>
              <w:bottom w:val="nil"/>
              <w:right w:val="nil"/>
            </w:tcBorders>
          </w:tcPr>
          <w:p w:rsidR="00354DE7" w:rsidRDefault="00354DE7" w:rsidP="00354DE7">
            <w:pPr>
              <w:ind w:left="284"/>
              <w:jc w:val="left"/>
            </w:pPr>
            <w:r>
              <w:t>Test i grunddatasystemet gennemført med tilfredsstillende resultat.</w:t>
            </w:r>
          </w:p>
        </w:tc>
      </w:tr>
      <w:tr w:rsidR="00354DE7" w:rsidTr="00AB794B">
        <w:trPr>
          <w:cantSplit/>
        </w:trPr>
        <w:tc>
          <w:tcPr>
            <w:tcW w:w="817" w:type="dxa"/>
            <w:tcBorders>
              <w:top w:val="nil"/>
              <w:left w:val="nil"/>
              <w:bottom w:val="nil"/>
              <w:right w:val="nil"/>
            </w:tcBorders>
          </w:tcPr>
          <w:p w:rsidR="00354DE7" w:rsidRDefault="00354DE7" w:rsidP="00354DE7">
            <w:pPr>
              <w:keepNext/>
              <w:spacing w:before="60"/>
            </w:pPr>
          </w:p>
        </w:tc>
        <w:tc>
          <w:tcPr>
            <w:tcW w:w="7828" w:type="dxa"/>
            <w:gridSpan w:val="2"/>
            <w:tcBorders>
              <w:top w:val="nil"/>
              <w:left w:val="nil"/>
              <w:bottom w:val="nil"/>
              <w:right w:val="nil"/>
            </w:tcBorders>
          </w:tcPr>
          <w:p w:rsidR="00354DE7" w:rsidRDefault="00354DE7" w:rsidP="00354DE7">
            <w:pPr>
              <w:keepNext/>
              <w:spacing w:before="60"/>
            </w:pPr>
            <w:r>
              <w:t>Godkendt testrapport i relation til udvidelse af BBR.</w:t>
            </w:r>
          </w:p>
        </w:tc>
      </w:tr>
      <w:tr w:rsidR="00354DE7" w:rsidTr="00AB794B">
        <w:trPr>
          <w:cantSplit/>
        </w:trPr>
        <w:tc>
          <w:tcPr>
            <w:tcW w:w="817" w:type="dxa"/>
            <w:tcBorders>
              <w:top w:val="nil"/>
              <w:left w:val="nil"/>
              <w:bottom w:val="nil"/>
              <w:right w:val="nil"/>
            </w:tcBorders>
          </w:tcPr>
          <w:p w:rsidR="00354DE7" w:rsidRDefault="00354DE7" w:rsidP="00354DE7"/>
        </w:tc>
        <w:tc>
          <w:tcPr>
            <w:tcW w:w="7828" w:type="dxa"/>
            <w:gridSpan w:val="2"/>
            <w:tcBorders>
              <w:top w:val="nil"/>
              <w:left w:val="nil"/>
              <w:bottom w:val="nil"/>
              <w:right w:val="nil"/>
            </w:tcBorders>
          </w:tcPr>
          <w:p w:rsidR="00354DE7" w:rsidRDefault="00354DE7" w:rsidP="00354DE7">
            <w:pPr>
              <w:ind w:left="284"/>
              <w:jc w:val="left"/>
            </w:pPr>
            <w:r>
              <w:t>Test i grunddatasystemet gennemført med tilfredsstillende resultat.</w:t>
            </w:r>
          </w:p>
        </w:tc>
      </w:tr>
      <w:tr w:rsidR="00354DE7" w:rsidTr="00AB794B">
        <w:trPr>
          <w:cantSplit/>
        </w:trPr>
        <w:tc>
          <w:tcPr>
            <w:tcW w:w="817" w:type="dxa"/>
            <w:tcBorders>
              <w:top w:val="nil"/>
              <w:left w:val="nil"/>
              <w:bottom w:val="nil"/>
              <w:right w:val="nil"/>
            </w:tcBorders>
          </w:tcPr>
          <w:p w:rsidR="00354DE7" w:rsidRDefault="00354DE7" w:rsidP="00354DE7">
            <w:pPr>
              <w:keepNext/>
              <w:spacing w:before="60"/>
            </w:pPr>
          </w:p>
        </w:tc>
        <w:tc>
          <w:tcPr>
            <w:tcW w:w="7828" w:type="dxa"/>
            <w:gridSpan w:val="2"/>
            <w:tcBorders>
              <w:top w:val="nil"/>
              <w:left w:val="nil"/>
              <w:bottom w:val="nil"/>
              <w:right w:val="nil"/>
            </w:tcBorders>
          </w:tcPr>
          <w:p w:rsidR="00354DE7" w:rsidRDefault="00354DE7" w:rsidP="00354DE7">
            <w:pPr>
              <w:keepNext/>
              <w:spacing w:before="60"/>
            </w:pPr>
            <w:r>
              <w:t>Godkendt testrapport i relation til ejendomsvurdering.</w:t>
            </w:r>
          </w:p>
        </w:tc>
      </w:tr>
      <w:tr w:rsidR="00354DE7" w:rsidTr="00AB794B">
        <w:trPr>
          <w:cantSplit/>
        </w:trPr>
        <w:tc>
          <w:tcPr>
            <w:tcW w:w="817" w:type="dxa"/>
            <w:tcBorders>
              <w:top w:val="nil"/>
              <w:left w:val="nil"/>
              <w:bottom w:val="nil"/>
              <w:right w:val="nil"/>
            </w:tcBorders>
          </w:tcPr>
          <w:p w:rsidR="00354DE7" w:rsidRDefault="00354DE7" w:rsidP="00354DE7"/>
        </w:tc>
        <w:tc>
          <w:tcPr>
            <w:tcW w:w="7828" w:type="dxa"/>
            <w:gridSpan w:val="2"/>
            <w:tcBorders>
              <w:top w:val="nil"/>
              <w:left w:val="nil"/>
              <w:bottom w:val="nil"/>
              <w:right w:val="nil"/>
            </w:tcBorders>
          </w:tcPr>
          <w:p w:rsidR="002D1302" w:rsidRDefault="00354DE7" w:rsidP="00354DE7">
            <w:pPr>
              <w:ind w:left="284"/>
              <w:jc w:val="left"/>
            </w:pPr>
            <w:r>
              <w:t>Test af udstilling af ejendomsvurdering gennemført</w:t>
            </w:r>
          </w:p>
          <w:p w:rsidR="00354DE7" w:rsidRDefault="00354DE7" w:rsidP="00354DE7">
            <w:pPr>
              <w:ind w:left="284"/>
              <w:jc w:val="left"/>
            </w:pPr>
            <w:proofErr w:type="gramStart"/>
            <w:r>
              <w:t>med tilfredsstillende resultat.</w:t>
            </w:r>
            <w:proofErr w:type="gramEnd"/>
          </w:p>
        </w:tc>
      </w:tr>
      <w:tr w:rsidR="00354DE7" w:rsidTr="00AB794B">
        <w:trPr>
          <w:cantSplit/>
        </w:trPr>
        <w:tc>
          <w:tcPr>
            <w:tcW w:w="817" w:type="dxa"/>
            <w:tcBorders>
              <w:top w:val="nil"/>
              <w:left w:val="nil"/>
              <w:bottom w:val="nil"/>
              <w:right w:val="nil"/>
            </w:tcBorders>
          </w:tcPr>
          <w:p w:rsidR="00354DE7" w:rsidRDefault="00354DE7" w:rsidP="00354DE7">
            <w:pPr>
              <w:keepNext/>
              <w:spacing w:before="60"/>
            </w:pPr>
          </w:p>
        </w:tc>
        <w:tc>
          <w:tcPr>
            <w:tcW w:w="7828" w:type="dxa"/>
            <w:gridSpan w:val="2"/>
            <w:tcBorders>
              <w:top w:val="nil"/>
              <w:left w:val="nil"/>
              <w:bottom w:val="nil"/>
              <w:right w:val="nil"/>
            </w:tcBorders>
          </w:tcPr>
          <w:p w:rsidR="00354DE7" w:rsidRDefault="00354DE7" w:rsidP="002D1302">
            <w:pPr>
              <w:keepNext/>
              <w:spacing w:before="60"/>
            </w:pPr>
            <w:r>
              <w:t xml:space="preserve">Godkendt testrapport i relation til </w:t>
            </w:r>
            <w:r w:rsidR="002D1302">
              <w:t>delprogrammet som helhed.</w:t>
            </w:r>
          </w:p>
        </w:tc>
      </w:tr>
      <w:tr w:rsidR="00354DE7" w:rsidTr="00AB794B">
        <w:trPr>
          <w:cantSplit/>
        </w:trPr>
        <w:tc>
          <w:tcPr>
            <w:tcW w:w="817" w:type="dxa"/>
            <w:tcBorders>
              <w:top w:val="nil"/>
              <w:left w:val="nil"/>
              <w:bottom w:val="nil"/>
              <w:right w:val="nil"/>
            </w:tcBorders>
          </w:tcPr>
          <w:p w:rsidR="00354DE7" w:rsidRDefault="00354DE7" w:rsidP="00354DE7"/>
        </w:tc>
        <w:tc>
          <w:tcPr>
            <w:tcW w:w="7828" w:type="dxa"/>
            <w:gridSpan w:val="2"/>
            <w:tcBorders>
              <w:top w:val="nil"/>
              <w:left w:val="nil"/>
              <w:bottom w:val="nil"/>
              <w:right w:val="nil"/>
            </w:tcBorders>
          </w:tcPr>
          <w:p w:rsidR="002D1302" w:rsidRDefault="00354DE7" w:rsidP="00354DE7">
            <w:pPr>
              <w:ind w:left="284"/>
              <w:jc w:val="left"/>
            </w:pPr>
            <w:r>
              <w:t xml:space="preserve">Test i </w:t>
            </w:r>
            <w:proofErr w:type="spellStart"/>
            <w:r w:rsidR="002D1302">
              <w:t>i</w:t>
            </w:r>
            <w:proofErr w:type="spellEnd"/>
            <w:r w:rsidR="002D1302">
              <w:t xml:space="preserve"> ejendomsdataprogrammet på tværs af grunddatasystemer</w:t>
            </w:r>
          </w:p>
          <w:p w:rsidR="00354DE7" w:rsidRDefault="00354DE7" w:rsidP="00354DE7">
            <w:pPr>
              <w:ind w:left="284"/>
              <w:jc w:val="left"/>
            </w:pPr>
            <w:proofErr w:type="gramStart"/>
            <w:r>
              <w:t>gennemført med tilfredsstillende resultat.</w:t>
            </w:r>
            <w:proofErr w:type="gramEnd"/>
          </w:p>
        </w:tc>
      </w:tr>
      <w:tr w:rsidR="002D1302" w:rsidRPr="00596FDC" w:rsidTr="00AB794B">
        <w:trPr>
          <w:cantSplit/>
        </w:trPr>
        <w:tc>
          <w:tcPr>
            <w:tcW w:w="817" w:type="dxa"/>
            <w:tcBorders>
              <w:top w:val="nil"/>
              <w:left w:val="nil"/>
              <w:bottom w:val="nil"/>
              <w:right w:val="nil"/>
            </w:tcBorders>
          </w:tcPr>
          <w:p w:rsidR="002D1302" w:rsidRPr="00596FDC" w:rsidRDefault="002D1302" w:rsidP="004A79B7">
            <w:pPr>
              <w:keepNext/>
              <w:spacing w:before="240"/>
              <w:rPr>
                <w:b/>
              </w:rPr>
            </w:pPr>
            <w:r>
              <w:rPr>
                <w:b/>
              </w:rPr>
              <w:lastRenderedPageBreak/>
              <w:t>M 8</w:t>
            </w:r>
          </w:p>
        </w:tc>
        <w:tc>
          <w:tcPr>
            <w:tcW w:w="6379" w:type="dxa"/>
            <w:tcBorders>
              <w:top w:val="nil"/>
              <w:left w:val="nil"/>
              <w:bottom w:val="nil"/>
              <w:right w:val="nil"/>
            </w:tcBorders>
          </w:tcPr>
          <w:p w:rsidR="002D1302" w:rsidRPr="00596FDC" w:rsidRDefault="002D1302" w:rsidP="004A79B7">
            <w:pPr>
              <w:keepNext/>
              <w:spacing w:before="240"/>
              <w:jc w:val="left"/>
              <w:rPr>
                <w:b/>
              </w:rPr>
            </w:pPr>
            <w:r>
              <w:rPr>
                <w:b/>
              </w:rPr>
              <w:t>Matriklen (SFE) implementeret</w:t>
            </w:r>
          </w:p>
        </w:tc>
        <w:tc>
          <w:tcPr>
            <w:tcW w:w="1449" w:type="dxa"/>
            <w:tcBorders>
              <w:top w:val="nil"/>
              <w:left w:val="nil"/>
              <w:bottom w:val="nil"/>
              <w:right w:val="nil"/>
            </w:tcBorders>
          </w:tcPr>
          <w:p w:rsidR="002D1302" w:rsidRPr="00596FDC" w:rsidRDefault="00AB794B" w:rsidP="004A79B7">
            <w:pPr>
              <w:keepNext/>
              <w:spacing w:before="240"/>
              <w:jc w:val="center"/>
              <w:rPr>
                <w:b/>
              </w:rPr>
            </w:pPr>
            <w:r>
              <w:rPr>
                <w:b/>
              </w:rPr>
              <w:t>Uge 37</w:t>
            </w:r>
            <w:r w:rsidR="002D1302">
              <w:rPr>
                <w:b/>
              </w:rPr>
              <w:t xml:space="preserve"> 201</w:t>
            </w:r>
            <w:r>
              <w:rPr>
                <w:b/>
              </w:rPr>
              <w:t>6</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2D1302" w:rsidP="004A79B7">
            <w:pPr>
              <w:keepNext/>
              <w:spacing w:before="60"/>
            </w:pPr>
            <w:r>
              <w:t>Matriklens udvidelse idriftsat i registret.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 xml:space="preserve">Registret loadet med produktionsdata og der er åbnet for </w:t>
            </w:r>
            <w:r>
              <w:br/>
              <w:t>anvendelse både internt og eksternt.</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2D1302" w:rsidP="004A79B7">
            <w:pPr>
              <w:keepNext/>
              <w:spacing w:before="60"/>
            </w:pPr>
            <w:r>
              <w:t>Matriklens DAF-tjenester implementeret.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Datafordeleren loadet med produktionsdata fra grunddataregistret</w:t>
            </w:r>
          </w:p>
          <w:p w:rsidR="002D1302" w:rsidRDefault="002D1302" w:rsidP="004A79B7">
            <w:pPr>
              <w:ind w:left="284"/>
              <w:jc w:val="left"/>
            </w:pPr>
            <w:proofErr w:type="gramStart"/>
            <w:r>
              <w:t>og der er åbnet for adgang til de tilhørende tjenester.</w:t>
            </w:r>
            <w:proofErr w:type="gramEnd"/>
          </w:p>
        </w:tc>
      </w:tr>
      <w:tr w:rsidR="002D1302" w:rsidRPr="00596FDC" w:rsidTr="00AB794B">
        <w:trPr>
          <w:cantSplit/>
        </w:trPr>
        <w:tc>
          <w:tcPr>
            <w:tcW w:w="817" w:type="dxa"/>
            <w:tcBorders>
              <w:top w:val="nil"/>
              <w:left w:val="nil"/>
              <w:bottom w:val="nil"/>
              <w:right w:val="nil"/>
            </w:tcBorders>
          </w:tcPr>
          <w:p w:rsidR="002D1302" w:rsidRPr="00596FDC" w:rsidRDefault="002D1302" w:rsidP="004A79B7">
            <w:pPr>
              <w:keepNext/>
              <w:spacing w:before="240"/>
              <w:rPr>
                <w:b/>
              </w:rPr>
            </w:pPr>
            <w:r>
              <w:rPr>
                <w:b/>
              </w:rPr>
              <w:t>M 9</w:t>
            </w:r>
          </w:p>
        </w:tc>
        <w:tc>
          <w:tcPr>
            <w:tcW w:w="6379" w:type="dxa"/>
            <w:tcBorders>
              <w:top w:val="nil"/>
              <w:left w:val="nil"/>
              <w:bottom w:val="nil"/>
              <w:right w:val="nil"/>
            </w:tcBorders>
          </w:tcPr>
          <w:p w:rsidR="002D1302" w:rsidRPr="00596FDC" w:rsidRDefault="002D1302" w:rsidP="002D1302">
            <w:pPr>
              <w:keepNext/>
              <w:spacing w:before="240"/>
              <w:jc w:val="left"/>
              <w:rPr>
                <w:b/>
              </w:rPr>
            </w:pPr>
            <w:r>
              <w:rPr>
                <w:b/>
              </w:rPr>
              <w:t>Matriklen (Ejerlejligheder) implementeret</w:t>
            </w:r>
          </w:p>
        </w:tc>
        <w:tc>
          <w:tcPr>
            <w:tcW w:w="1449" w:type="dxa"/>
            <w:tcBorders>
              <w:top w:val="nil"/>
              <w:left w:val="nil"/>
              <w:bottom w:val="nil"/>
              <w:right w:val="nil"/>
            </w:tcBorders>
          </w:tcPr>
          <w:p w:rsidR="002D1302" w:rsidRPr="00596FDC" w:rsidRDefault="00AB794B" w:rsidP="004A79B7">
            <w:pPr>
              <w:keepNext/>
              <w:spacing w:before="240"/>
              <w:jc w:val="center"/>
              <w:rPr>
                <w:b/>
              </w:rPr>
            </w:pPr>
            <w:r>
              <w:rPr>
                <w:b/>
              </w:rPr>
              <w:t>Uge 40</w:t>
            </w:r>
            <w:r w:rsidR="002D1302">
              <w:rPr>
                <w:b/>
              </w:rPr>
              <w:t xml:space="preserve"> 201</w:t>
            </w:r>
            <w:r>
              <w:rPr>
                <w:b/>
              </w:rPr>
              <w:t>6</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2D1302" w:rsidP="004A79B7">
            <w:pPr>
              <w:keepNext/>
              <w:spacing w:before="60"/>
            </w:pPr>
            <w:r>
              <w:t>Matriklens udvidelse ift. Ejerlejligheder idriftsat i registret.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 xml:space="preserve">Registret loadet med produktionsdata og der er åbnet for </w:t>
            </w:r>
            <w:r>
              <w:br/>
              <w:t>anvendelse både internt og eksternt.</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2D1302" w:rsidP="004A79B7">
            <w:pPr>
              <w:keepNext/>
              <w:spacing w:before="60"/>
            </w:pPr>
            <w:r>
              <w:t xml:space="preserve">Matriklens DAF-tjenester </w:t>
            </w:r>
            <w:r w:rsidR="00AB794B">
              <w:t xml:space="preserve">ift. Ejerlejligheder </w:t>
            </w:r>
            <w:r>
              <w:t>implementeret.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Datafordeleren loadet med produktionsdata fra grunddataregistret</w:t>
            </w:r>
          </w:p>
          <w:p w:rsidR="002D1302" w:rsidRDefault="002D1302" w:rsidP="004A79B7">
            <w:pPr>
              <w:ind w:left="284"/>
              <w:jc w:val="left"/>
            </w:pPr>
            <w:proofErr w:type="gramStart"/>
            <w:r>
              <w:t>og der er åbnet for adgang til de tilhørende tjenester.</w:t>
            </w:r>
            <w:proofErr w:type="gramEnd"/>
          </w:p>
        </w:tc>
      </w:tr>
      <w:tr w:rsidR="002D1302" w:rsidRPr="00596FDC" w:rsidTr="00AB794B">
        <w:trPr>
          <w:cantSplit/>
        </w:trPr>
        <w:tc>
          <w:tcPr>
            <w:tcW w:w="817" w:type="dxa"/>
            <w:tcBorders>
              <w:top w:val="nil"/>
              <w:left w:val="nil"/>
              <w:bottom w:val="nil"/>
              <w:right w:val="nil"/>
            </w:tcBorders>
          </w:tcPr>
          <w:p w:rsidR="002D1302" w:rsidRPr="00596FDC" w:rsidRDefault="002D1302" w:rsidP="004A79B7">
            <w:pPr>
              <w:keepNext/>
              <w:spacing w:before="240"/>
              <w:rPr>
                <w:b/>
              </w:rPr>
            </w:pPr>
            <w:r>
              <w:rPr>
                <w:b/>
              </w:rPr>
              <w:t xml:space="preserve">M </w:t>
            </w:r>
            <w:r w:rsidR="00AB794B">
              <w:rPr>
                <w:b/>
              </w:rPr>
              <w:t>10</w:t>
            </w:r>
          </w:p>
        </w:tc>
        <w:tc>
          <w:tcPr>
            <w:tcW w:w="6379" w:type="dxa"/>
            <w:tcBorders>
              <w:top w:val="nil"/>
              <w:left w:val="nil"/>
              <w:bottom w:val="nil"/>
              <w:right w:val="nil"/>
            </w:tcBorders>
          </w:tcPr>
          <w:p w:rsidR="002D1302" w:rsidRPr="00596FDC" w:rsidRDefault="002D1302" w:rsidP="002D1302">
            <w:pPr>
              <w:keepNext/>
              <w:spacing w:before="240"/>
              <w:jc w:val="left"/>
              <w:rPr>
                <w:b/>
              </w:rPr>
            </w:pPr>
            <w:r>
              <w:rPr>
                <w:b/>
              </w:rPr>
              <w:t>Ejerfortegnelse implementeret</w:t>
            </w:r>
          </w:p>
        </w:tc>
        <w:tc>
          <w:tcPr>
            <w:tcW w:w="1449" w:type="dxa"/>
            <w:tcBorders>
              <w:top w:val="nil"/>
              <w:left w:val="nil"/>
              <w:bottom w:val="nil"/>
              <w:right w:val="nil"/>
            </w:tcBorders>
          </w:tcPr>
          <w:p w:rsidR="002D1302" w:rsidRPr="00596FDC" w:rsidRDefault="00AB794B" w:rsidP="004A79B7">
            <w:pPr>
              <w:keepNext/>
              <w:spacing w:before="240"/>
              <w:jc w:val="center"/>
              <w:rPr>
                <w:b/>
              </w:rPr>
            </w:pPr>
            <w:r>
              <w:rPr>
                <w:b/>
              </w:rPr>
              <w:t>Uge 43</w:t>
            </w:r>
            <w:r w:rsidR="002D1302">
              <w:rPr>
                <w:b/>
              </w:rPr>
              <w:t xml:space="preserve"> 201</w:t>
            </w:r>
            <w:r>
              <w:rPr>
                <w:b/>
              </w:rPr>
              <w:t>6</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AB794B" w:rsidP="00AB794B">
            <w:pPr>
              <w:keepNext/>
              <w:spacing w:before="60"/>
            </w:pPr>
            <w:r>
              <w:t>Ejerfortegnelse</w:t>
            </w:r>
            <w:r w:rsidR="002D1302">
              <w:t xml:space="preserve"> udvidelse idriftsat i registret.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 xml:space="preserve">Registret loadet med produktionsdata og der er åbnet for </w:t>
            </w:r>
            <w:r>
              <w:br/>
              <w:t>anvendelse både internt og eksternt.</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AB794B" w:rsidP="00AB794B">
            <w:pPr>
              <w:keepNext/>
              <w:spacing w:before="60"/>
            </w:pPr>
            <w:r>
              <w:t>Ejerfortegnelsens</w:t>
            </w:r>
            <w:r w:rsidR="002D1302">
              <w:t xml:space="preserve"> DAF-tjenester implementeret.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Datafordeleren loadet med produktionsdata fra grunddataregistret</w:t>
            </w:r>
          </w:p>
          <w:p w:rsidR="002D1302" w:rsidRDefault="002D1302" w:rsidP="004A79B7">
            <w:pPr>
              <w:ind w:left="284"/>
              <w:jc w:val="left"/>
            </w:pPr>
            <w:proofErr w:type="gramStart"/>
            <w:r>
              <w:t>og der er åbnet for adgang til de tilhørende tjenester.</w:t>
            </w:r>
            <w:proofErr w:type="gramEnd"/>
          </w:p>
        </w:tc>
      </w:tr>
      <w:tr w:rsidR="002D1302" w:rsidRPr="00596FDC" w:rsidTr="00AB794B">
        <w:trPr>
          <w:cantSplit/>
        </w:trPr>
        <w:tc>
          <w:tcPr>
            <w:tcW w:w="817" w:type="dxa"/>
            <w:tcBorders>
              <w:top w:val="nil"/>
              <w:left w:val="nil"/>
              <w:bottom w:val="nil"/>
              <w:right w:val="nil"/>
            </w:tcBorders>
          </w:tcPr>
          <w:p w:rsidR="002D1302" w:rsidRPr="00596FDC" w:rsidRDefault="002D1302" w:rsidP="004A79B7">
            <w:pPr>
              <w:keepNext/>
              <w:spacing w:before="240"/>
              <w:rPr>
                <w:b/>
              </w:rPr>
            </w:pPr>
            <w:r>
              <w:rPr>
                <w:b/>
              </w:rPr>
              <w:t xml:space="preserve">M </w:t>
            </w:r>
            <w:r w:rsidR="00AB794B">
              <w:rPr>
                <w:b/>
              </w:rPr>
              <w:t>11</w:t>
            </w:r>
          </w:p>
        </w:tc>
        <w:tc>
          <w:tcPr>
            <w:tcW w:w="6379" w:type="dxa"/>
            <w:tcBorders>
              <w:top w:val="nil"/>
              <w:left w:val="nil"/>
              <w:bottom w:val="nil"/>
              <w:right w:val="nil"/>
            </w:tcBorders>
          </w:tcPr>
          <w:p w:rsidR="002D1302" w:rsidRPr="00596FDC" w:rsidRDefault="002D1302" w:rsidP="00AB794B">
            <w:pPr>
              <w:keepNext/>
              <w:spacing w:before="240"/>
              <w:jc w:val="left"/>
              <w:rPr>
                <w:b/>
              </w:rPr>
            </w:pPr>
            <w:r>
              <w:rPr>
                <w:b/>
              </w:rPr>
              <w:t>Matriklen (</w:t>
            </w:r>
            <w:r w:rsidR="00AB794B">
              <w:rPr>
                <w:b/>
              </w:rPr>
              <w:t>BPFG</w:t>
            </w:r>
            <w:r>
              <w:rPr>
                <w:b/>
              </w:rPr>
              <w:t xml:space="preserve">) </w:t>
            </w:r>
            <w:r w:rsidR="00AB794B">
              <w:rPr>
                <w:b/>
              </w:rPr>
              <w:t xml:space="preserve">og BBR 2.0 </w:t>
            </w:r>
            <w:r>
              <w:rPr>
                <w:b/>
              </w:rPr>
              <w:t>implementeret</w:t>
            </w:r>
          </w:p>
        </w:tc>
        <w:tc>
          <w:tcPr>
            <w:tcW w:w="1449" w:type="dxa"/>
            <w:tcBorders>
              <w:top w:val="nil"/>
              <w:left w:val="nil"/>
              <w:bottom w:val="nil"/>
              <w:right w:val="nil"/>
            </w:tcBorders>
          </w:tcPr>
          <w:p w:rsidR="002D1302" w:rsidRPr="00596FDC" w:rsidRDefault="00AB794B" w:rsidP="004A79B7">
            <w:pPr>
              <w:keepNext/>
              <w:spacing w:before="240"/>
              <w:jc w:val="center"/>
              <w:rPr>
                <w:b/>
              </w:rPr>
            </w:pPr>
            <w:r>
              <w:rPr>
                <w:b/>
              </w:rPr>
              <w:t>Uge 46</w:t>
            </w:r>
            <w:r w:rsidR="002D1302">
              <w:rPr>
                <w:b/>
              </w:rPr>
              <w:t xml:space="preserve"> 201</w:t>
            </w:r>
            <w:r>
              <w:rPr>
                <w:b/>
              </w:rPr>
              <w:t>6</w:t>
            </w:r>
          </w:p>
        </w:tc>
      </w:tr>
      <w:tr w:rsidR="00AB794B" w:rsidTr="00AB794B">
        <w:trPr>
          <w:cantSplit/>
        </w:trPr>
        <w:tc>
          <w:tcPr>
            <w:tcW w:w="817" w:type="dxa"/>
            <w:tcBorders>
              <w:top w:val="nil"/>
              <w:left w:val="nil"/>
              <w:bottom w:val="nil"/>
              <w:right w:val="nil"/>
            </w:tcBorders>
          </w:tcPr>
          <w:p w:rsidR="00AB794B" w:rsidRDefault="00AB794B" w:rsidP="004A79B7">
            <w:pPr>
              <w:keepNext/>
              <w:spacing w:before="60"/>
            </w:pPr>
          </w:p>
        </w:tc>
        <w:tc>
          <w:tcPr>
            <w:tcW w:w="7828" w:type="dxa"/>
            <w:gridSpan w:val="2"/>
            <w:tcBorders>
              <w:top w:val="nil"/>
              <w:left w:val="nil"/>
              <w:bottom w:val="nil"/>
              <w:right w:val="nil"/>
            </w:tcBorders>
          </w:tcPr>
          <w:p w:rsidR="00AB794B" w:rsidRDefault="00AB794B" w:rsidP="004A79B7">
            <w:pPr>
              <w:keepNext/>
              <w:spacing w:before="60"/>
            </w:pPr>
            <w:r>
              <w:t>Matriklens udvidelse ift. BPFG idriftsat i registret.</w:t>
            </w:r>
          </w:p>
        </w:tc>
      </w:tr>
      <w:tr w:rsidR="00AB794B" w:rsidTr="00AB794B">
        <w:trPr>
          <w:cantSplit/>
        </w:trPr>
        <w:tc>
          <w:tcPr>
            <w:tcW w:w="817" w:type="dxa"/>
            <w:tcBorders>
              <w:top w:val="nil"/>
              <w:left w:val="nil"/>
              <w:bottom w:val="nil"/>
              <w:right w:val="nil"/>
            </w:tcBorders>
          </w:tcPr>
          <w:p w:rsidR="00AB794B" w:rsidRDefault="00AB794B" w:rsidP="004A79B7"/>
        </w:tc>
        <w:tc>
          <w:tcPr>
            <w:tcW w:w="7828" w:type="dxa"/>
            <w:gridSpan w:val="2"/>
            <w:tcBorders>
              <w:top w:val="nil"/>
              <w:left w:val="nil"/>
              <w:bottom w:val="nil"/>
              <w:right w:val="nil"/>
            </w:tcBorders>
          </w:tcPr>
          <w:p w:rsidR="00AB794B" w:rsidRDefault="00AB794B" w:rsidP="004A79B7">
            <w:pPr>
              <w:ind w:left="284"/>
              <w:jc w:val="left"/>
            </w:pPr>
            <w:r>
              <w:t xml:space="preserve">Registret loadet med produktionsdata og der er åbnet for </w:t>
            </w:r>
            <w:r>
              <w:br/>
              <w:t>anvendelse både internt og eksternt.</w:t>
            </w:r>
          </w:p>
        </w:tc>
      </w:tr>
      <w:tr w:rsidR="00AB794B" w:rsidTr="00AB794B">
        <w:trPr>
          <w:cantSplit/>
        </w:trPr>
        <w:tc>
          <w:tcPr>
            <w:tcW w:w="817" w:type="dxa"/>
            <w:tcBorders>
              <w:top w:val="nil"/>
              <w:left w:val="nil"/>
              <w:bottom w:val="nil"/>
              <w:right w:val="nil"/>
            </w:tcBorders>
          </w:tcPr>
          <w:p w:rsidR="00AB794B" w:rsidRDefault="00AB794B" w:rsidP="004A79B7">
            <w:pPr>
              <w:keepNext/>
              <w:spacing w:before="60"/>
            </w:pPr>
          </w:p>
        </w:tc>
        <w:tc>
          <w:tcPr>
            <w:tcW w:w="7828" w:type="dxa"/>
            <w:gridSpan w:val="2"/>
            <w:tcBorders>
              <w:top w:val="nil"/>
              <w:left w:val="nil"/>
              <w:bottom w:val="nil"/>
              <w:right w:val="nil"/>
            </w:tcBorders>
          </w:tcPr>
          <w:p w:rsidR="00AB794B" w:rsidRDefault="00AB794B" w:rsidP="004A79B7">
            <w:pPr>
              <w:keepNext/>
              <w:spacing w:before="60"/>
            </w:pPr>
            <w:r>
              <w:t>Matriklens DAF-tjenester ift. BPFG implementeret.</w:t>
            </w:r>
          </w:p>
        </w:tc>
      </w:tr>
      <w:tr w:rsidR="00AB794B" w:rsidTr="00AB794B">
        <w:trPr>
          <w:cantSplit/>
        </w:trPr>
        <w:tc>
          <w:tcPr>
            <w:tcW w:w="817" w:type="dxa"/>
            <w:tcBorders>
              <w:top w:val="nil"/>
              <w:left w:val="nil"/>
              <w:bottom w:val="nil"/>
              <w:right w:val="nil"/>
            </w:tcBorders>
          </w:tcPr>
          <w:p w:rsidR="00AB794B" w:rsidRDefault="00AB794B" w:rsidP="004A79B7"/>
        </w:tc>
        <w:tc>
          <w:tcPr>
            <w:tcW w:w="7828" w:type="dxa"/>
            <w:gridSpan w:val="2"/>
            <w:tcBorders>
              <w:top w:val="nil"/>
              <w:left w:val="nil"/>
              <w:bottom w:val="nil"/>
              <w:right w:val="nil"/>
            </w:tcBorders>
          </w:tcPr>
          <w:p w:rsidR="00AB794B" w:rsidRDefault="00AB794B" w:rsidP="004A79B7">
            <w:pPr>
              <w:ind w:left="284"/>
              <w:jc w:val="left"/>
            </w:pPr>
            <w:r>
              <w:t>Datafordeleren loadet med produktionsdata fra grunddataregistret</w:t>
            </w:r>
          </w:p>
          <w:p w:rsidR="00AB794B" w:rsidRDefault="00AB794B" w:rsidP="004A79B7">
            <w:pPr>
              <w:ind w:left="284"/>
              <w:jc w:val="left"/>
            </w:pPr>
            <w:proofErr w:type="gramStart"/>
            <w:r>
              <w:t>og der er åbnet for adgang til de tilhørende tjenester.</w:t>
            </w:r>
            <w:proofErr w:type="gramEnd"/>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AB794B" w:rsidP="00AB794B">
            <w:pPr>
              <w:keepNext/>
              <w:spacing w:before="60"/>
            </w:pPr>
            <w:r>
              <w:t>BBR 2.0</w:t>
            </w:r>
            <w:r w:rsidR="002D1302">
              <w:t xml:space="preserve"> idriftsat i registret.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 xml:space="preserve">Registret loadet med produktionsdata og der er åbnet for </w:t>
            </w:r>
            <w:r>
              <w:br/>
              <w:t>anvendelse både internt og eksternt.</w:t>
            </w:r>
          </w:p>
        </w:tc>
      </w:tr>
      <w:tr w:rsidR="002D1302" w:rsidTr="00AB794B">
        <w:trPr>
          <w:cantSplit/>
        </w:trPr>
        <w:tc>
          <w:tcPr>
            <w:tcW w:w="817" w:type="dxa"/>
            <w:tcBorders>
              <w:top w:val="nil"/>
              <w:left w:val="nil"/>
              <w:bottom w:val="nil"/>
              <w:right w:val="nil"/>
            </w:tcBorders>
          </w:tcPr>
          <w:p w:rsidR="002D1302" w:rsidRDefault="002D1302" w:rsidP="004A79B7">
            <w:pPr>
              <w:keepNext/>
              <w:spacing w:before="60"/>
            </w:pPr>
          </w:p>
        </w:tc>
        <w:tc>
          <w:tcPr>
            <w:tcW w:w="7828" w:type="dxa"/>
            <w:gridSpan w:val="2"/>
            <w:tcBorders>
              <w:top w:val="nil"/>
              <w:left w:val="nil"/>
              <w:bottom w:val="nil"/>
              <w:right w:val="nil"/>
            </w:tcBorders>
          </w:tcPr>
          <w:p w:rsidR="002D1302" w:rsidRDefault="00AB794B" w:rsidP="00AB794B">
            <w:pPr>
              <w:keepNext/>
              <w:spacing w:before="60"/>
            </w:pPr>
            <w:r>
              <w:t>BBR</w:t>
            </w:r>
            <w:r w:rsidR="002D1302">
              <w:t xml:space="preserve"> DAF-tjenester implementeret.</w:t>
            </w:r>
          </w:p>
        </w:tc>
      </w:tr>
      <w:tr w:rsidR="002D1302" w:rsidTr="00AB794B">
        <w:trPr>
          <w:cantSplit/>
        </w:trPr>
        <w:tc>
          <w:tcPr>
            <w:tcW w:w="817" w:type="dxa"/>
            <w:tcBorders>
              <w:top w:val="nil"/>
              <w:left w:val="nil"/>
              <w:bottom w:val="nil"/>
              <w:right w:val="nil"/>
            </w:tcBorders>
          </w:tcPr>
          <w:p w:rsidR="002D1302" w:rsidRDefault="002D1302" w:rsidP="004A79B7"/>
        </w:tc>
        <w:tc>
          <w:tcPr>
            <w:tcW w:w="7828" w:type="dxa"/>
            <w:gridSpan w:val="2"/>
            <w:tcBorders>
              <w:top w:val="nil"/>
              <w:left w:val="nil"/>
              <w:bottom w:val="nil"/>
              <w:right w:val="nil"/>
            </w:tcBorders>
          </w:tcPr>
          <w:p w:rsidR="002D1302" w:rsidRDefault="002D1302" w:rsidP="004A79B7">
            <w:pPr>
              <w:ind w:left="284"/>
              <w:jc w:val="left"/>
            </w:pPr>
            <w:r>
              <w:t>Datafordeleren loadet med produktionsdata fra grunddataregistret</w:t>
            </w:r>
          </w:p>
          <w:p w:rsidR="002D1302" w:rsidRDefault="002D1302" w:rsidP="004A79B7">
            <w:pPr>
              <w:ind w:left="284"/>
              <w:jc w:val="left"/>
            </w:pPr>
            <w:proofErr w:type="gramStart"/>
            <w:r>
              <w:t>og der er åbnet for adgang til de tilhørende tjenester.</w:t>
            </w:r>
            <w:proofErr w:type="gramEnd"/>
          </w:p>
        </w:tc>
      </w:tr>
      <w:tr w:rsidR="00AB794B" w:rsidRPr="00596FDC" w:rsidTr="004A79B7">
        <w:trPr>
          <w:cantSplit/>
        </w:trPr>
        <w:tc>
          <w:tcPr>
            <w:tcW w:w="817" w:type="dxa"/>
            <w:tcBorders>
              <w:top w:val="nil"/>
              <w:left w:val="nil"/>
              <w:bottom w:val="nil"/>
              <w:right w:val="nil"/>
            </w:tcBorders>
          </w:tcPr>
          <w:p w:rsidR="00AB794B" w:rsidRPr="00596FDC" w:rsidRDefault="00AB794B" w:rsidP="004A79B7">
            <w:pPr>
              <w:keepNext/>
              <w:spacing w:before="240"/>
              <w:rPr>
                <w:b/>
              </w:rPr>
            </w:pPr>
            <w:r>
              <w:rPr>
                <w:b/>
              </w:rPr>
              <w:t>M 12</w:t>
            </w:r>
          </w:p>
        </w:tc>
        <w:tc>
          <w:tcPr>
            <w:tcW w:w="6379" w:type="dxa"/>
            <w:tcBorders>
              <w:top w:val="nil"/>
              <w:left w:val="nil"/>
              <w:bottom w:val="nil"/>
              <w:right w:val="nil"/>
            </w:tcBorders>
          </w:tcPr>
          <w:p w:rsidR="00AB794B" w:rsidRPr="00596FDC" w:rsidRDefault="00AB794B" w:rsidP="004A79B7">
            <w:pPr>
              <w:keepNext/>
              <w:spacing w:before="240"/>
              <w:jc w:val="left"/>
              <w:rPr>
                <w:b/>
              </w:rPr>
            </w:pPr>
            <w:r>
              <w:rPr>
                <w:b/>
              </w:rPr>
              <w:t>Paralleldrift starter</w:t>
            </w:r>
          </w:p>
        </w:tc>
        <w:tc>
          <w:tcPr>
            <w:tcW w:w="1449" w:type="dxa"/>
            <w:tcBorders>
              <w:top w:val="nil"/>
              <w:left w:val="nil"/>
              <w:bottom w:val="nil"/>
              <w:right w:val="nil"/>
            </w:tcBorders>
          </w:tcPr>
          <w:p w:rsidR="00AB794B" w:rsidRPr="00596FDC" w:rsidRDefault="00B25C5C" w:rsidP="004A79B7">
            <w:pPr>
              <w:keepNext/>
              <w:spacing w:before="240"/>
              <w:jc w:val="center"/>
              <w:rPr>
                <w:b/>
              </w:rPr>
            </w:pPr>
            <w:r>
              <w:rPr>
                <w:b/>
              </w:rPr>
              <w:t>Uge 1</w:t>
            </w:r>
            <w:r w:rsidR="00AB794B">
              <w:rPr>
                <w:b/>
              </w:rPr>
              <w:t xml:space="preserve"> 201</w:t>
            </w:r>
            <w:r>
              <w:rPr>
                <w:b/>
              </w:rPr>
              <w:t>7</w:t>
            </w:r>
          </w:p>
        </w:tc>
      </w:tr>
      <w:tr w:rsidR="00AB794B" w:rsidTr="004A79B7">
        <w:trPr>
          <w:cantSplit/>
        </w:trPr>
        <w:tc>
          <w:tcPr>
            <w:tcW w:w="817" w:type="dxa"/>
            <w:tcBorders>
              <w:top w:val="nil"/>
              <w:left w:val="nil"/>
              <w:bottom w:val="nil"/>
              <w:right w:val="nil"/>
            </w:tcBorders>
          </w:tcPr>
          <w:p w:rsidR="00AB794B" w:rsidRDefault="00AB794B" w:rsidP="004A79B7">
            <w:pPr>
              <w:keepNext/>
              <w:spacing w:before="60"/>
            </w:pPr>
          </w:p>
        </w:tc>
        <w:tc>
          <w:tcPr>
            <w:tcW w:w="7828" w:type="dxa"/>
            <w:gridSpan w:val="2"/>
            <w:tcBorders>
              <w:top w:val="nil"/>
              <w:left w:val="nil"/>
              <w:bottom w:val="nil"/>
              <w:right w:val="nil"/>
            </w:tcBorders>
          </w:tcPr>
          <w:p w:rsidR="00AB794B" w:rsidRDefault="00AB794B" w:rsidP="004A79B7">
            <w:pPr>
              <w:keepNext/>
              <w:spacing w:before="60"/>
            </w:pPr>
            <w:r>
              <w:t>x</w:t>
            </w:r>
          </w:p>
        </w:tc>
      </w:tr>
      <w:tr w:rsidR="00AB794B" w:rsidTr="004A79B7">
        <w:trPr>
          <w:cantSplit/>
        </w:trPr>
        <w:tc>
          <w:tcPr>
            <w:tcW w:w="817" w:type="dxa"/>
            <w:tcBorders>
              <w:top w:val="nil"/>
              <w:left w:val="nil"/>
              <w:bottom w:val="nil"/>
              <w:right w:val="nil"/>
            </w:tcBorders>
          </w:tcPr>
          <w:p w:rsidR="00AB794B" w:rsidRDefault="00AB794B" w:rsidP="004A79B7"/>
        </w:tc>
        <w:tc>
          <w:tcPr>
            <w:tcW w:w="7828" w:type="dxa"/>
            <w:gridSpan w:val="2"/>
            <w:tcBorders>
              <w:top w:val="nil"/>
              <w:left w:val="nil"/>
              <w:bottom w:val="nil"/>
              <w:right w:val="nil"/>
            </w:tcBorders>
          </w:tcPr>
          <w:p w:rsidR="00AB794B" w:rsidRDefault="00AB794B" w:rsidP="004A79B7">
            <w:pPr>
              <w:ind w:left="284"/>
              <w:jc w:val="left"/>
            </w:pPr>
            <w:r>
              <w:t>x.</w:t>
            </w:r>
          </w:p>
        </w:tc>
      </w:tr>
      <w:tr w:rsidR="00414AFE" w:rsidRPr="00596FDC" w:rsidTr="00AB794B">
        <w:trPr>
          <w:cantSplit/>
        </w:trPr>
        <w:tc>
          <w:tcPr>
            <w:tcW w:w="817" w:type="dxa"/>
            <w:tcBorders>
              <w:top w:val="nil"/>
              <w:left w:val="nil"/>
              <w:bottom w:val="nil"/>
              <w:right w:val="nil"/>
            </w:tcBorders>
          </w:tcPr>
          <w:p w:rsidR="00414AFE" w:rsidRPr="00596FDC" w:rsidRDefault="00414AFE" w:rsidP="00365379">
            <w:pPr>
              <w:keepNext/>
              <w:spacing w:before="240"/>
              <w:rPr>
                <w:b/>
              </w:rPr>
            </w:pPr>
            <w:r>
              <w:rPr>
                <w:b/>
              </w:rPr>
              <w:t xml:space="preserve">M </w:t>
            </w:r>
            <w:r w:rsidR="00AB794B">
              <w:rPr>
                <w:b/>
              </w:rPr>
              <w:t>12</w:t>
            </w:r>
          </w:p>
        </w:tc>
        <w:tc>
          <w:tcPr>
            <w:tcW w:w="6379" w:type="dxa"/>
            <w:tcBorders>
              <w:top w:val="nil"/>
              <w:left w:val="nil"/>
              <w:bottom w:val="nil"/>
              <w:right w:val="nil"/>
            </w:tcBorders>
          </w:tcPr>
          <w:p w:rsidR="00414AFE" w:rsidRPr="00596FDC" w:rsidRDefault="00AB794B" w:rsidP="00AB794B">
            <w:pPr>
              <w:keepNext/>
              <w:spacing w:before="240"/>
              <w:jc w:val="left"/>
              <w:rPr>
                <w:b/>
              </w:rPr>
            </w:pPr>
            <w:r>
              <w:rPr>
                <w:b/>
              </w:rPr>
              <w:t>Paralleldrift slut</w:t>
            </w:r>
          </w:p>
        </w:tc>
        <w:tc>
          <w:tcPr>
            <w:tcW w:w="1449" w:type="dxa"/>
            <w:tcBorders>
              <w:top w:val="nil"/>
              <w:left w:val="nil"/>
              <w:bottom w:val="nil"/>
              <w:right w:val="nil"/>
            </w:tcBorders>
          </w:tcPr>
          <w:p w:rsidR="00414AFE" w:rsidRPr="00596FDC" w:rsidRDefault="00B25C5C" w:rsidP="00365379">
            <w:pPr>
              <w:keepNext/>
              <w:spacing w:before="240"/>
              <w:jc w:val="center"/>
              <w:rPr>
                <w:b/>
              </w:rPr>
            </w:pPr>
            <w:r>
              <w:rPr>
                <w:b/>
              </w:rPr>
              <w:t>Uge 52</w:t>
            </w:r>
            <w:r w:rsidR="00414AFE">
              <w:rPr>
                <w:b/>
              </w:rPr>
              <w:t xml:space="preserve"> 201</w:t>
            </w:r>
            <w:r>
              <w:rPr>
                <w:b/>
              </w:rPr>
              <w:t>7</w:t>
            </w:r>
          </w:p>
        </w:tc>
      </w:tr>
      <w:tr w:rsidR="00414AFE" w:rsidTr="00AB794B">
        <w:trPr>
          <w:cantSplit/>
        </w:trPr>
        <w:tc>
          <w:tcPr>
            <w:tcW w:w="817" w:type="dxa"/>
            <w:tcBorders>
              <w:top w:val="nil"/>
              <w:left w:val="nil"/>
              <w:bottom w:val="nil"/>
              <w:right w:val="nil"/>
            </w:tcBorders>
          </w:tcPr>
          <w:p w:rsidR="00414AFE" w:rsidRDefault="00414AFE" w:rsidP="00365379">
            <w:pPr>
              <w:keepNext/>
              <w:spacing w:before="60"/>
            </w:pPr>
          </w:p>
        </w:tc>
        <w:tc>
          <w:tcPr>
            <w:tcW w:w="7828" w:type="dxa"/>
            <w:gridSpan w:val="2"/>
            <w:tcBorders>
              <w:top w:val="nil"/>
              <w:left w:val="nil"/>
              <w:bottom w:val="nil"/>
              <w:right w:val="nil"/>
            </w:tcBorders>
          </w:tcPr>
          <w:p w:rsidR="00414AFE" w:rsidRDefault="00AB794B" w:rsidP="00AB794B">
            <w:pPr>
              <w:keepNext/>
              <w:spacing w:before="60"/>
            </w:pPr>
            <w:r>
              <w:t>x</w:t>
            </w:r>
          </w:p>
        </w:tc>
      </w:tr>
      <w:tr w:rsidR="00414AFE" w:rsidTr="00AB794B">
        <w:trPr>
          <w:cantSplit/>
        </w:trPr>
        <w:tc>
          <w:tcPr>
            <w:tcW w:w="817" w:type="dxa"/>
            <w:tcBorders>
              <w:top w:val="nil"/>
              <w:left w:val="nil"/>
              <w:bottom w:val="nil"/>
              <w:right w:val="nil"/>
            </w:tcBorders>
          </w:tcPr>
          <w:p w:rsidR="00414AFE" w:rsidRDefault="00414AFE" w:rsidP="00365379"/>
        </w:tc>
        <w:tc>
          <w:tcPr>
            <w:tcW w:w="7828" w:type="dxa"/>
            <w:gridSpan w:val="2"/>
            <w:tcBorders>
              <w:top w:val="nil"/>
              <w:left w:val="nil"/>
              <w:bottom w:val="nil"/>
              <w:right w:val="nil"/>
            </w:tcBorders>
          </w:tcPr>
          <w:p w:rsidR="00414AFE" w:rsidRDefault="00AB794B" w:rsidP="00AB794B">
            <w:pPr>
              <w:ind w:left="284"/>
              <w:jc w:val="left"/>
            </w:pPr>
            <w:r>
              <w:t>x</w:t>
            </w:r>
            <w:r w:rsidR="002D1302">
              <w:t>.</w:t>
            </w:r>
          </w:p>
        </w:tc>
      </w:tr>
    </w:tbl>
    <w:p w:rsidR="00F616BC" w:rsidRDefault="00F616BC" w:rsidP="00F616BC">
      <w:pPr>
        <w:pStyle w:val="Overskrift2"/>
        <w:rPr>
          <w:lang w:val="da-DK"/>
        </w:rPr>
      </w:pPr>
      <w:bookmarkStart w:id="49" w:name="_Toc401161374"/>
      <w:r w:rsidRPr="00F616BC">
        <w:rPr>
          <w:lang w:val="da-DK"/>
        </w:rPr>
        <w:lastRenderedPageBreak/>
        <w:t>Kritiske</w:t>
      </w:r>
      <w:r>
        <w:t xml:space="preserve"> </w:t>
      </w:r>
      <w:r w:rsidRPr="00F616BC">
        <w:rPr>
          <w:lang w:val="da-DK"/>
        </w:rPr>
        <w:t>veje</w:t>
      </w:r>
      <w:r>
        <w:t xml:space="preserve"> </w:t>
      </w:r>
      <w:r w:rsidRPr="00F616BC">
        <w:rPr>
          <w:lang w:val="da-DK"/>
        </w:rPr>
        <w:t>i</w:t>
      </w:r>
      <w:r>
        <w:t xml:space="preserve"> </w:t>
      </w:r>
      <w:r w:rsidRPr="00F616BC">
        <w:rPr>
          <w:lang w:val="da-DK"/>
        </w:rPr>
        <w:t>implementeringsplanen</w:t>
      </w:r>
      <w:bookmarkEnd w:id="49"/>
    </w:p>
    <w:p w:rsidR="00E36F08" w:rsidRPr="00E36F08" w:rsidRDefault="002D1302" w:rsidP="00E36F08">
      <w:r w:rsidRPr="002D1302">
        <w:rPr>
          <w:highlight w:val="yellow"/>
        </w:rPr>
        <w:t>Afventer MS Project plan kan udfyldes med de relevante milepæle og afhængigheder.</w:t>
      </w:r>
    </w:p>
    <w:p w:rsidR="00F616BC" w:rsidRDefault="00F616BC" w:rsidP="00F616BC">
      <w:pPr>
        <w:pStyle w:val="Overskrift2"/>
      </w:pPr>
      <w:bookmarkStart w:id="50" w:name="_Toc401161375"/>
      <w:r>
        <w:rPr>
          <w:lang w:val="da-DK"/>
        </w:rPr>
        <w:t>Væsentlige risici ift. implementerings</w:t>
      </w:r>
      <w:r w:rsidRPr="004B3BFA">
        <w:rPr>
          <w:lang w:val="da-DK"/>
        </w:rPr>
        <w:t>planen</w:t>
      </w:r>
      <w:bookmarkEnd w:id="50"/>
    </w:p>
    <w:p w:rsidR="00F616BC" w:rsidRDefault="002D1302" w:rsidP="00D75BC4">
      <w:r w:rsidRPr="002D1302">
        <w:rPr>
          <w:highlight w:val="yellow"/>
        </w:rPr>
        <w:t>Udfyldes efter den planlagte workshop til identifikation af disse,</w:t>
      </w:r>
    </w:p>
    <w:p w:rsidR="0073321F" w:rsidRDefault="0073321F" w:rsidP="0073321F">
      <w:pPr>
        <w:pStyle w:val="Overskrift1"/>
        <w:tabs>
          <w:tab w:val="clear" w:pos="794"/>
          <w:tab w:val="left" w:pos="567"/>
          <w:tab w:val="left" w:pos="851"/>
          <w:tab w:val="left" w:pos="1134"/>
        </w:tabs>
        <w:spacing w:before="0" w:after="120" w:line="288" w:lineRule="auto"/>
        <w:ind w:left="567" w:hanging="567"/>
      </w:pPr>
      <w:bookmarkStart w:id="51" w:name="_Toc353390029"/>
      <w:bookmarkStart w:id="52" w:name="_Toc401161376"/>
      <w:r>
        <w:lastRenderedPageBreak/>
        <w:t>Implementeringsplanens projekter</w:t>
      </w:r>
      <w:bookmarkEnd w:id="51"/>
      <w:bookmarkEnd w:id="52"/>
    </w:p>
    <w:p w:rsidR="0041470C" w:rsidRPr="004A79B7" w:rsidRDefault="0041470C" w:rsidP="0041470C">
      <w:pPr>
        <w:pStyle w:val="Overskrift2"/>
        <w:rPr>
          <w:lang w:val="da-DK"/>
        </w:rPr>
      </w:pPr>
      <w:bookmarkStart w:id="53" w:name="_Toc401161377"/>
      <w:bookmarkStart w:id="54" w:name="_Toc353390030"/>
      <w:r>
        <w:rPr>
          <w:lang w:val="da-DK"/>
        </w:rPr>
        <w:t>Strukturelle sammenhænge</w:t>
      </w:r>
      <w:bookmarkEnd w:id="53"/>
    </w:p>
    <w:p w:rsidR="0041470C" w:rsidRDefault="0041470C" w:rsidP="0041470C">
      <w:pPr>
        <w:pBdr>
          <w:top w:val="single" w:sz="4" w:space="1" w:color="auto"/>
          <w:left w:val="single" w:sz="4" w:space="4" w:color="auto"/>
          <w:bottom w:val="single" w:sz="4" w:space="1" w:color="auto"/>
          <w:right w:val="single" w:sz="4" w:space="4" w:color="auto"/>
        </w:pBdr>
        <w:jc w:val="center"/>
        <w:rPr>
          <w:highlight w:val="yellow"/>
        </w:rPr>
      </w:pPr>
      <w:r>
        <w:rPr>
          <w:highlight w:val="yellow"/>
        </w:rPr>
        <w:t xml:space="preserve">Revideret produktflow på hovedprodukter ift. </w:t>
      </w:r>
      <w:proofErr w:type="gramStart"/>
      <w:r>
        <w:rPr>
          <w:highlight w:val="yellow"/>
        </w:rPr>
        <w:t>den gamle implementeringsplan.</w:t>
      </w:r>
      <w:proofErr w:type="gramEnd"/>
    </w:p>
    <w:p w:rsidR="0041470C" w:rsidRDefault="0041470C" w:rsidP="0041470C">
      <w:pPr>
        <w:pBdr>
          <w:top w:val="single" w:sz="4" w:space="1" w:color="auto"/>
          <w:left w:val="single" w:sz="4" w:space="4" w:color="auto"/>
          <w:bottom w:val="single" w:sz="4" w:space="1" w:color="auto"/>
          <w:right w:val="single" w:sz="4" w:space="4" w:color="auto"/>
        </w:pBdr>
        <w:jc w:val="center"/>
        <w:rPr>
          <w:highlight w:val="yellow"/>
        </w:rPr>
      </w:pPr>
      <w:r>
        <w:rPr>
          <w:highlight w:val="yellow"/>
        </w:rPr>
        <w:t>Da arbejdspakke/produkt dokumentet opdeles i flere dokumenter (1 pr projekt)</w:t>
      </w:r>
    </w:p>
    <w:p w:rsidR="0041470C" w:rsidRPr="004A79B7" w:rsidRDefault="0041470C" w:rsidP="004A79B7">
      <w:pPr>
        <w:pBdr>
          <w:top w:val="single" w:sz="4" w:space="1" w:color="auto"/>
          <w:left w:val="single" w:sz="4" w:space="4" w:color="auto"/>
          <w:bottom w:val="single" w:sz="4" w:space="1" w:color="auto"/>
          <w:right w:val="single" w:sz="4" w:space="4" w:color="auto"/>
        </w:pBdr>
        <w:jc w:val="center"/>
        <w:rPr>
          <w:highlight w:val="yellow"/>
        </w:rPr>
      </w:pPr>
      <w:proofErr w:type="gramStart"/>
      <w:r>
        <w:rPr>
          <w:highlight w:val="yellow"/>
        </w:rPr>
        <w:t>mangler vi en pladsholder for et overblik over disse sammenhænge.</w:t>
      </w:r>
      <w:proofErr w:type="gramEnd"/>
    </w:p>
    <w:p w:rsidR="0041470C" w:rsidRPr="00B25C5C" w:rsidRDefault="0041470C" w:rsidP="00B25C5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9</w:t>
      </w:r>
      <w:r w:rsidRPr="00140F7B">
        <w:rPr>
          <w:b w:val="0"/>
        </w:rPr>
        <w:fldChar w:fldCharType="end"/>
      </w:r>
      <w:r>
        <w:rPr>
          <w:b w:val="0"/>
        </w:rPr>
        <w:t>.</w:t>
      </w:r>
      <w:r w:rsidRPr="00140F7B">
        <w:rPr>
          <w:b w:val="0"/>
        </w:rPr>
        <w:t xml:space="preserve"> </w:t>
      </w:r>
      <w:r>
        <w:rPr>
          <w:b w:val="0"/>
        </w:rPr>
        <w:t>Sammenhænge mellem hovedprodukter i ejendomsdataprogrammet.</w:t>
      </w:r>
    </w:p>
    <w:p w:rsidR="00B25C5C" w:rsidRDefault="00B25C5C" w:rsidP="00B25C5C">
      <w:pPr>
        <w:pStyle w:val="Overskrift2"/>
        <w:rPr>
          <w:lang w:val="da-DK"/>
        </w:rPr>
      </w:pPr>
      <w:bookmarkStart w:id="55" w:name="_Toc401161378"/>
      <w:r>
        <w:rPr>
          <w:lang w:val="da-DK"/>
        </w:rPr>
        <w:t>Opgaver fælles for GD1 og GD2</w:t>
      </w:r>
      <w:bookmarkEnd w:id="55"/>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B25C5C" w:rsidRDefault="00B25C5C" w:rsidP="00B25C5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10</w:t>
      </w:r>
      <w:r w:rsidRPr="00140F7B">
        <w:rPr>
          <w:b w:val="0"/>
        </w:rPr>
        <w:fldChar w:fldCharType="end"/>
      </w:r>
      <w:r>
        <w:rPr>
          <w:b w:val="0"/>
        </w:rPr>
        <w:t>.</w:t>
      </w:r>
      <w:r w:rsidRPr="00140F7B">
        <w:rPr>
          <w:b w:val="0"/>
        </w:rPr>
        <w:t xml:space="preserve"> </w:t>
      </w:r>
      <w:r>
        <w:rPr>
          <w:b w:val="0"/>
        </w:rPr>
        <w:t xml:space="preserve">Hovedplan ift. </w:t>
      </w:r>
      <w:proofErr w:type="gramStart"/>
      <w:r>
        <w:rPr>
          <w:b w:val="0"/>
        </w:rPr>
        <w:t>arbejdspakker på delprogramniveau.</w:t>
      </w:r>
      <w:proofErr w:type="gramEnd"/>
    </w:p>
    <w:p w:rsidR="00B25C5C" w:rsidRDefault="00B25C5C" w:rsidP="00B25C5C">
      <w:r w:rsidRPr="00B25C5C">
        <w:rPr>
          <w:highlight w:val="yellow"/>
        </w:rPr>
        <w:t xml:space="preserve">&lt;Her skal indsættes en kort beskrivelse af </w:t>
      </w:r>
      <w:r>
        <w:rPr>
          <w:highlight w:val="yellow"/>
        </w:rPr>
        <w:t>opgaver og arbejdspakker fælles for GD1 og GD2 – fx ”Lovgivning”</w:t>
      </w:r>
      <w:r w:rsidRPr="00B25C5C">
        <w:rPr>
          <w:highlight w:val="yellow"/>
        </w:rPr>
        <w:t>&gt;</w:t>
      </w:r>
    </w:p>
    <w:p w:rsidR="00B25C5C" w:rsidRPr="0041470C" w:rsidRDefault="00B25C5C" w:rsidP="0041470C"/>
    <w:p w:rsidR="003F5148" w:rsidRPr="004A79B7" w:rsidRDefault="00B25C5C" w:rsidP="003F5148">
      <w:pPr>
        <w:pStyle w:val="Overskrift2"/>
        <w:rPr>
          <w:lang w:val="da-DK"/>
        </w:rPr>
      </w:pPr>
      <w:bookmarkStart w:id="56" w:name="_Toc401161379"/>
      <w:r>
        <w:rPr>
          <w:lang w:val="da-DK"/>
        </w:rPr>
        <w:t>GD1 – Opgaver på d</w:t>
      </w:r>
      <w:r w:rsidR="0073321F">
        <w:rPr>
          <w:lang w:val="da-DK"/>
        </w:rPr>
        <w:t>elprogram</w:t>
      </w:r>
      <w:r>
        <w:rPr>
          <w:lang w:val="da-DK"/>
        </w:rPr>
        <w:t>niveau</w:t>
      </w:r>
      <w:bookmarkEnd w:id="54"/>
      <w:bookmarkEnd w:id="56"/>
    </w:p>
    <w:p w:rsidR="003F5148" w:rsidRDefault="003F5148" w:rsidP="003F5148">
      <w:pPr>
        <w:pBdr>
          <w:top w:val="single" w:sz="4" w:space="1" w:color="auto"/>
          <w:left w:val="single" w:sz="4" w:space="4" w:color="auto"/>
          <w:bottom w:val="single" w:sz="4" w:space="1" w:color="auto"/>
          <w:right w:val="single" w:sz="4" w:space="4" w:color="auto"/>
        </w:pBdr>
        <w:jc w:val="center"/>
      </w:pPr>
      <w:r w:rsidRPr="004A79B7">
        <w:rPr>
          <w:highlight w:val="yellow"/>
        </w:rPr>
        <w:t>Gant</w:t>
      </w:r>
      <w:r w:rsidR="000E7E46" w:rsidRPr="004A79B7">
        <w:rPr>
          <w:highlight w:val="yellow"/>
        </w:rPr>
        <w:t>t</w:t>
      </w:r>
      <w:r w:rsidRPr="004A79B7">
        <w:rPr>
          <w:highlight w:val="yellow"/>
        </w:rPr>
        <w:t xml:space="preserve">diagram </w:t>
      </w:r>
      <w:r w:rsidR="00B25C5C" w:rsidRPr="004A79B7">
        <w:rPr>
          <w:highlight w:val="yellow"/>
        </w:rPr>
        <w:t>fra MS Project med projektets arbejdspakker</w:t>
      </w:r>
    </w:p>
    <w:p w:rsidR="0073321F" w:rsidRDefault="0073321F" w:rsidP="000F528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11</w:t>
      </w:r>
      <w:r w:rsidRPr="00140F7B">
        <w:rPr>
          <w:b w:val="0"/>
        </w:rPr>
        <w:fldChar w:fldCharType="end"/>
      </w:r>
      <w:r>
        <w:rPr>
          <w:b w:val="0"/>
        </w:rPr>
        <w:t>.</w:t>
      </w:r>
      <w:r w:rsidRPr="00140F7B">
        <w:rPr>
          <w:b w:val="0"/>
        </w:rPr>
        <w:t xml:space="preserve"> </w:t>
      </w:r>
      <w:r>
        <w:rPr>
          <w:b w:val="0"/>
        </w:rPr>
        <w:t xml:space="preserve">Hovedplan ift. </w:t>
      </w:r>
      <w:proofErr w:type="gramStart"/>
      <w:r>
        <w:rPr>
          <w:b w:val="0"/>
        </w:rPr>
        <w:t>arbejdspakker på delprogramniveau.</w:t>
      </w:r>
      <w:proofErr w:type="gramEnd"/>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EC6695" w:rsidRDefault="00EC6695" w:rsidP="0073321F"/>
    <w:p w:rsidR="004A79B7" w:rsidRPr="004A79B7" w:rsidRDefault="00E722A6" w:rsidP="004A79B7">
      <w:pPr>
        <w:pStyle w:val="Overskrift2"/>
        <w:rPr>
          <w:lang w:val="da-DK"/>
        </w:rPr>
      </w:pPr>
      <w:bookmarkStart w:id="57" w:name="_Toc401161380"/>
      <w:r>
        <w:rPr>
          <w:lang w:val="da-DK"/>
        </w:rPr>
        <w:t>G</w:t>
      </w:r>
      <w:r w:rsidR="0080099A">
        <w:rPr>
          <w:lang w:val="da-DK"/>
        </w:rPr>
        <w:t>ST</w:t>
      </w:r>
      <w:r w:rsidR="00EC6695">
        <w:rPr>
          <w:lang w:val="da-DK"/>
        </w:rPr>
        <w:t xml:space="preserve"> – Matriklens udvidelse</w:t>
      </w:r>
      <w:bookmarkEnd w:id="57"/>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0F528C" w:rsidRDefault="000F528C" w:rsidP="000F528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12</w:t>
      </w:r>
      <w:r w:rsidRPr="00140F7B">
        <w:rPr>
          <w:b w:val="0"/>
        </w:rPr>
        <w:fldChar w:fldCharType="end"/>
      </w:r>
      <w:r>
        <w:rPr>
          <w:b w:val="0"/>
        </w:rPr>
        <w:t>.</w:t>
      </w:r>
      <w:r w:rsidRPr="00140F7B">
        <w:rPr>
          <w:b w:val="0"/>
        </w:rPr>
        <w:t xml:space="preserve"> </w:t>
      </w:r>
      <w:r>
        <w:rPr>
          <w:b w:val="0"/>
        </w:rPr>
        <w:t xml:space="preserve">Hovedplan ift. arbejdspakker </w:t>
      </w:r>
      <w:r w:rsidR="00EC6695">
        <w:rPr>
          <w:b w:val="0"/>
        </w:rPr>
        <w:t>i Matriklens Udvidelse</w:t>
      </w:r>
      <w:r>
        <w:rPr>
          <w:b w:val="0"/>
        </w:rPr>
        <w:t>.</w:t>
      </w:r>
    </w:p>
    <w:p w:rsidR="00EC6695" w:rsidRDefault="00B25C5C" w:rsidP="005561B0">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0E7E46" w:rsidRPr="004A79B7" w:rsidRDefault="00EC6695" w:rsidP="000E7E46">
      <w:pPr>
        <w:pStyle w:val="Overskrift2"/>
        <w:rPr>
          <w:lang w:val="da-DK"/>
        </w:rPr>
      </w:pPr>
      <w:bookmarkStart w:id="58" w:name="_Toc401161381"/>
      <w:r>
        <w:rPr>
          <w:lang w:val="da-DK"/>
        </w:rPr>
        <w:t>G</w:t>
      </w:r>
      <w:r w:rsidR="0080099A">
        <w:rPr>
          <w:lang w:val="da-DK"/>
        </w:rPr>
        <w:t>ST</w:t>
      </w:r>
      <w:r>
        <w:rPr>
          <w:lang w:val="da-DK"/>
        </w:rPr>
        <w:t xml:space="preserve"> – Ejerfortegnelsen</w:t>
      </w:r>
      <w:bookmarkEnd w:id="58"/>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EC6695" w:rsidRPr="00EC6695" w:rsidRDefault="00EC6695" w:rsidP="00EC6695">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13</w:t>
      </w:r>
      <w:r w:rsidRPr="00140F7B">
        <w:rPr>
          <w:b w:val="0"/>
        </w:rPr>
        <w:fldChar w:fldCharType="end"/>
      </w:r>
      <w:r>
        <w:rPr>
          <w:b w:val="0"/>
        </w:rPr>
        <w:t>.</w:t>
      </w:r>
      <w:r w:rsidRPr="00140F7B">
        <w:rPr>
          <w:b w:val="0"/>
        </w:rPr>
        <w:t xml:space="preserve"> </w:t>
      </w:r>
      <w:r>
        <w:rPr>
          <w:b w:val="0"/>
        </w:rPr>
        <w:t>Hovedplan ift. arbejdspakker i Ejerfortegnelsen.</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EC6695" w:rsidRDefault="00EC6695" w:rsidP="005561B0"/>
    <w:p w:rsidR="00E722A6" w:rsidRDefault="00E722A6" w:rsidP="00120A8D">
      <w:pPr>
        <w:pStyle w:val="Overskrift2"/>
        <w:rPr>
          <w:lang w:val="da-DK"/>
        </w:rPr>
      </w:pPr>
      <w:bookmarkStart w:id="59" w:name="_Toc401161382"/>
      <w:r>
        <w:rPr>
          <w:lang w:val="da-DK"/>
        </w:rPr>
        <w:lastRenderedPageBreak/>
        <w:t>MBBL</w:t>
      </w:r>
      <w:r w:rsidR="00EC6695">
        <w:rPr>
          <w:lang w:val="da-DK"/>
        </w:rPr>
        <w:t xml:space="preserve"> – Bygnings- og BoligRegister (BBR)</w:t>
      </w:r>
      <w:bookmarkEnd w:id="59"/>
    </w:p>
    <w:p w:rsidR="004A79B7" w:rsidRDefault="004A79B7" w:rsidP="004A79B7">
      <w:pPr>
        <w:keepNext/>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0F528C" w:rsidRDefault="000F528C" w:rsidP="000F528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14</w:t>
      </w:r>
      <w:r w:rsidRPr="00140F7B">
        <w:rPr>
          <w:b w:val="0"/>
        </w:rPr>
        <w:fldChar w:fldCharType="end"/>
      </w:r>
      <w:r>
        <w:rPr>
          <w:b w:val="0"/>
        </w:rPr>
        <w:t>.</w:t>
      </w:r>
      <w:r w:rsidRPr="00140F7B">
        <w:rPr>
          <w:b w:val="0"/>
        </w:rPr>
        <w:t xml:space="preserve"> </w:t>
      </w:r>
      <w:r>
        <w:rPr>
          <w:b w:val="0"/>
        </w:rPr>
        <w:t>Hove</w:t>
      </w:r>
      <w:r w:rsidR="004A41F3">
        <w:rPr>
          <w:b w:val="0"/>
        </w:rPr>
        <w:t xml:space="preserve">dplan ift. arbejdspakker </w:t>
      </w:r>
      <w:r w:rsidR="00EC6695">
        <w:rPr>
          <w:b w:val="0"/>
        </w:rPr>
        <w:t>i BBR</w:t>
      </w:r>
      <w:r>
        <w:rPr>
          <w:b w:val="0"/>
        </w:rPr>
        <w:t>.</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EC6695" w:rsidRDefault="00EC6695" w:rsidP="005561B0"/>
    <w:p w:rsidR="00E722A6" w:rsidRDefault="00E722A6" w:rsidP="00120A8D">
      <w:pPr>
        <w:pStyle w:val="Overskrift2"/>
        <w:rPr>
          <w:lang w:val="da-DK"/>
        </w:rPr>
      </w:pPr>
      <w:bookmarkStart w:id="60" w:name="_Toc401161383"/>
      <w:r>
        <w:rPr>
          <w:lang w:val="da-DK"/>
        </w:rPr>
        <w:t>T</w:t>
      </w:r>
      <w:r w:rsidR="0080099A">
        <w:rPr>
          <w:lang w:val="da-DK"/>
        </w:rPr>
        <w:t>LR</w:t>
      </w:r>
      <w:r w:rsidR="000860B7">
        <w:rPr>
          <w:lang w:val="da-DK"/>
        </w:rPr>
        <w:t xml:space="preserve"> – Tilpasning af Tingbogen</w:t>
      </w:r>
      <w:bookmarkEnd w:id="60"/>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0F528C" w:rsidRDefault="000F528C" w:rsidP="000F528C">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15</w:t>
      </w:r>
      <w:r w:rsidRPr="00140F7B">
        <w:rPr>
          <w:b w:val="0"/>
        </w:rPr>
        <w:fldChar w:fldCharType="end"/>
      </w:r>
      <w:r>
        <w:rPr>
          <w:b w:val="0"/>
        </w:rPr>
        <w:t>.</w:t>
      </w:r>
      <w:r w:rsidRPr="00140F7B">
        <w:rPr>
          <w:b w:val="0"/>
        </w:rPr>
        <w:t xml:space="preserve"> </w:t>
      </w:r>
      <w:r>
        <w:rPr>
          <w:b w:val="0"/>
        </w:rPr>
        <w:t>Hove</w:t>
      </w:r>
      <w:r w:rsidR="004A41F3">
        <w:rPr>
          <w:b w:val="0"/>
        </w:rPr>
        <w:t>dplan ift. arbejdspakker hos T</w:t>
      </w:r>
      <w:r w:rsidR="00EC6695">
        <w:rPr>
          <w:b w:val="0"/>
        </w:rPr>
        <w:t>inglysningsretten</w:t>
      </w:r>
      <w:r>
        <w:rPr>
          <w:b w:val="0"/>
        </w:rPr>
        <w:t>.</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EC6695" w:rsidRDefault="00EC6695" w:rsidP="00A13833"/>
    <w:p w:rsidR="000860B7" w:rsidRDefault="000860B7" w:rsidP="000860B7">
      <w:pPr>
        <w:pStyle w:val="Overskrift2"/>
        <w:rPr>
          <w:lang w:val="da-DK"/>
        </w:rPr>
      </w:pPr>
      <w:bookmarkStart w:id="61" w:name="_Toc401161384"/>
      <w:r>
        <w:rPr>
          <w:lang w:val="da-DK"/>
        </w:rPr>
        <w:t>SKAT – Udstilling af ejendomsvurdering</w:t>
      </w:r>
      <w:bookmarkEnd w:id="61"/>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0860B7" w:rsidRDefault="000860B7" w:rsidP="000860B7">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16</w:t>
      </w:r>
      <w:r w:rsidRPr="00140F7B">
        <w:rPr>
          <w:b w:val="0"/>
        </w:rPr>
        <w:fldChar w:fldCharType="end"/>
      </w:r>
      <w:r>
        <w:rPr>
          <w:b w:val="0"/>
        </w:rPr>
        <w:t>.</w:t>
      </w:r>
      <w:r w:rsidRPr="00140F7B">
        <w:rPr>
          <w:b w:val="0"/>
        </w:rPr>
        <w:t xml:space="preserve"> </w:t>
      </w:r>
      <w:r>
        <w:rPr>
          <w:b w:val="0"/>
        </w:rPr>
        <w:t>Hovedplan ift. arbejdspakker SKAT’s udstilling af ejendomsvurdering.</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0860B7" w:rsidRPr="000860B7" w:rsidRDefault="000860B7" w:rsidP="000860B7"/>
    <w:p w:rsidR="00E722A6" w:rsidRDefault="00A51CD3" w:rsidP="00120A8D">
      <w:pPr>
        <w:pStyle w:val="Overskrift2"/>
        <w:rPr>
          <w:lang w:val="da-DK"/>
        </w:rPr>
      </w:pPr>
      <w:bookmarkStart w:id="62" w:name="_Toc401161385"/>
      <w:r>
        <w:rPr>
          <w:lang w:val="da-DK"/>
        </w:rPr>
        <w:t>KL/KOMBIT</w:t>
      </w:r>
      <w:r w:rsidR="00EC6695">
        <w:rPr>
          <w:lang w:val="da-DK"/>
        </w:rPr>
        <w:t xml:space="preserve"> </w:t>
      </w:r>
      <w:r w:rsidR="003F5148">
        <w:rPr>
          <w:lang w:val="da-DK"/>
        </w:rPr>
        <w:t>–</w:t>
      </w:r>
      <w:r w:rsidR="00EC6695">
        <w:rPr>
          <w:lang w:val="da-DK"/>
        </w:rPr>
        <w:t xml:space="preserve"> Økonomiløsninger</w:t>
      </w:r>
      <w:bookmarkEnd w:id="62"/>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A51CD3" w:rsidRDefault="00A51CD3" w:rsidP="00A51CD3">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17</w:t>
      </w:r>
      <w:r w:rsidRPr="00140F7B">
        <w:rPr>
          <w:b w:val="0"/>
        </w:rPr>
        <w:fldChar w:fldCharType="end"/>
      </w:r>
      <w:r>
        <w:rPr>
          <w:b w:val="0"/>
        </w:rPr>
        <w:t>.</w:t>
      </w:r>
      <w:r w:rsidRPr="00140F7B">
        <w:rPr>
          <w:b w:val="0"/>
        </w:rPr>
        <w:t xml:space="preserve"> </w:t>
      </w:r>
      <w:r>
        <w:rPr>
          <w:b w:val="0"/>
        </w:rPr>
        <w:t>Hove</w:t>
      </w:r>
      <w:r w:rsidR="004A41F3">
        <w:rPr>
          <w:b w:val="0"/>
        </w:rPr>
        <w:t xml:space="preserve">dplan ift. </w:t>
      </w:r>
      <w:proofErr w:type="gramStart"/>
      <w:r w:rsidR="004A41F3">
        <w:rPr>
          <w:b w:val="0"/>
        </w:rPr>
        <w:t xml:space="preserve">arbejdspakker </w:t>
      </w:r>
      <w:r w:rsidR="004955B1">
        <w:rPr>
          <w:b w:val="0"/>
        </w:rPr>
        <w:t>ift.</w:t>
      </w:r>
      <w:proofErr w:type="gramEnd"/>
      <w:r w:rsidR="004955B1">
        <w:rPr>
          <w:b w:val="0"/>
        </w:rPr>
        <w:t xml:space="preserve"> </w:t>
      </w:r>
      <w:proofErr w:type="gramStart"/>
      <w:r w:rsidR="004955B1">
        <w:rPr>
          <w:b w:val="0"/>
        </w:rPr>
        <w:t>de nye økonomiløsninger</w:t>
      </w:r>
      <w:r>
        <w:rPr>
          <w:b w:val="0"/>
        </w:rPr>
        <w:t>.</w:t>
      </w:r>
      <w:proofErr w:type="gramEnd"/>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4955B1" w:rsidRDefault="004955B1" w:rsidP="00044208"/>
    <w:p w:rsidR="000860B7" w:rsidRDefault="000860B7" w:rsidP="000860B7">
      <w:pPr>
        <w:pStyle w:val="Overskrift2"/>
        <w:rPr>
          <w:lang w:val="da-DK"/>
        </w:rPr>
      </w:pPr>
      <w:bookmarkStart w:id="63" w:name="_Toc401161386"/>
      <w:r>
        <w:rPr>
          <w:lang w:val="da-DK"/>
        </w:rPr>
        <w:t>KL/KOMBIT – Tilpasning af ESR</w:t>
      </w:r>
      <w:bookmarkEnd w:id="63"/>
    </w:p>
    <w:p w:rsidR="004A79B7" w:rsidRDefault="004A79B7" w:rsidP="004A79B7">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0860B7" w:rsidRDefault="000860B7" w:rsidP="000860B7">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18</w:t>
      </w:r>
      <w:r w:rsidRPr="00140F7B">
        <w:rPr>
          <w:b w:val="0"/>
        </w:rPr>
        <w:fldChar w:fldCharType="end"/>
      </w:r>
      <w:r>
        <w:rPr>
          <w:b w:val="0"/>
        </w:rPr>
        <w:t>.</w:t>
      </w:r>
      <w:r w:rsidRPr="00140F7B">
        <w:rPr>
          <w:b w:val="0"/>
        </w:rPr>
        <w:t xml:space="preserve"> </w:t>
      </w:r>
      <w:r>
        <w:rPr>
          <w:b w:val="0"/>
        </w:rPr>
        <w:t xml:space="preserve">Hovedplan ift. </w:t>
      </w:r>
      <w:proofErr w:type="gramStart"/>
      <w:r>
        <w:rPr>
          <w:b w:val="0"/>
        </w:rPr>
        <w:t>arbejdspakker ift.</w:t>
      </w:r>
      <w:proofErr w:type="gramEnd"/>
      <w:r>
        <w:rPr>
          <w:b w:val="0"/>
        </w:rPr>
        <w:t xml:space="preserve"> tilpasning af ESR.</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0860B7" w:rsidRDefault="000860B7" w:rsidP="00044208"/>
    <w:p w:rsidR="000860B7" w:rsidRDefault="000860B7" w:rsidP="00044208"/>
    <w:p w:rsidR="00A51CD3" w:rsidRDefault="000860B7" w:rsidP="00A51CD3">
      <w:pPr>
        <w:pStyle w:val="Overskrift2"/>
        <w:rPr>
          <w:lang w:val="da-DK"/>
        </w:rPr>
      </w:pPr>
      <w:bookmarkStart w:id="64" w:name="_Toc401161387"/>
      <w:r>
        <w:rPr>
          <w:lang w:val="da-DK"/>
        </w:rPr>
        <w:lastRenderedPageBreak/>
        <w:t>MBBL</w:t>
      </w:r>
      <w:r w:rsidR="00A51CD3">
        <w:rPr>
          <w:lang w:val="da-DK"/>
        </w:rPr>
        <w:t xml:space="preserve"> </w:t>
      </w:r>
      <w:r>
        <w:rPr>
          <w:lang w:val="da-DK"/>
        </w:rPr>
        <w:t>–</w:t>
      </w:r>
      <w:r w:rsidR="004955B1">
        <w:rPr>
          <w:lang w:val="da-DK"/>
        </w:rPr>
        <w:t xml:space="preserve"> </w:t>
      </w:r>
      <w:r>
        <w:rPr>
          <w:lang w:val="da-DK"/>
        </w:rPr>
        <w:t>Tilpasning af OIS</w:t>
      </w:r>
      <w:bookmarkEnd w:id="64"/>
    </w:p>
    <w:p w:rsidR="000E7E46" w:rsidRPr="003F5148" w:rsidRDefault="004A79B7" w:rsidP="000E7E46">
      <w:pPr>
        <w:pBdr>
          <w:top w:val="single" w:sz="4" w:space="1" w:color="auto"/>
          <w:left w:val="single" w:sz="4" w:space="4" w:color="auto"/>
          <w:bottom w:val="single" w:sz="4" w:space="1" w:color="auto"/>
          <w:right w:val="single" w:sz="4" w:space="4" w:color="auto"/>
        </w:pBdr>
        <w:jc w:val="center"/>
      </w:pPr>
      <w:r w:rsidRPr="004A79B7">
        <w:rPr>
          <w:highlight w:val="yellow"/>
        </w:rPr>
        <w:t>Ganttdiagram fra MS Project med projektets arbejdspakker</w:t>
      </w:r>
    </w:p>
    <w:p w:rsidR="00A51CD3" w:rsidRDefault="00A51CD3" w:rsidP="00A51CD3">
      <w:pPr>
        <w:pStyle w:val="Billedtekst"/>
        <w:spacing w:after="240"/>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9034F6">
        <w:rPr>
          <w:b w:val="0"/>
          <w:noProof/>
        </w:rPr>
        <w:t>19</w:t>
      </w:r>
      <w:r w:rsidRPr="00140F7B">
        <w:rPr>
          <w:b w:val="0"/>
        </w:rPr>
        <w:fldChar w:fldCharType="end"/>
      </w:r>
      <w:r>
        <w:rPr>
          <w:b w:val="0"/>
        </w:rPr>
        <w:t>.</w:t>
      </w:r>
      <w:r w:rsidRPr="00140F7B">
        <w:rPr>
          <w:b w:val="0"/>
        </w:rPr>
        <w:t xml:space="preserve"> </w:t>
      </w:r>
      <w:r>
        <w:rPr>
          <w:b w:val="0"/>
        </w:rPr>
        <w:t xml:space="preserve">Hovedplan ift. </w:t>
      </w:r>
      <w:proofErr w:type="gramStart"/>
      <w:r>
        <w:rPr>
          <w:b w:val="0"/>
        </w:rPr>
        <w:t>arbejdspakke</w:t>
      </w:r>
      <w:r w:rsidR="004A41F3">
        <w:rPr>
          <w:b w:val="0"/>
        </w:rPr>
        <w:t xml:space="preserve">r </w:t>
      </w:r>
      <w:r w:rsidR="004955B1">
        <w:rPr>
          <w:b w:val="0"/>
        </w:rPr>
        <w:t>ifb.</w:t>
      </w:r>
      <w:proofErr w:type="gramEnd"/>
      <w:r w:rsidR="004955B1">
        <w:rPr>
          <w:b w:val="0"/>
        </w:rPr>
        <w:t xml:space="preserve"> </w:t>
      </w:r>
      <w:r w:rsidR="000860B7">
        <w:rPr>
          <w:b w:val="0"/>
        </w:rPr>
        <w:t>tilpasning af OIS</w:t>
      </w:r>
      <w:r>
        <w:rPr>
          <w:b w:val="0"/>
        </w:rPr>
        <w:t>.</w:t>
      </w:r>
    </w:p>
    <w:p w:rsidR="00B25C5C" w:rsidRDefault="00B25C5C" w:rsidP="00B25C5C">
      <w:r w:rsidRPr="00B25C5C">
        <w:rPr>
          <w:highlight w:val="yellow"/>
        </w:rPr>
        <w:t>&lt;Her skal indsættes en kort beskrivelse af delprojektet, dets hovedforløb (arbejdspakker) samt de for andre væsentlige</w:t>
      </w:r>
      <w:r>
        <w:rPr>
          <w:highlight w:val="yellow"/>
        </w:rPr>
        <w:t xml:space="preserve"> milepæl</w:t>
      </w:r>
      <w:r w:rsidRPr="00B25C5C">
        <w:rPr>
          <w:highlight w:val="yellow"/>
        </w:rPr>
        <w:t>e&gt;</w:t>
      </w:r>
    </w:p>
    <w:p w:rsidR="00B626B5" w:rsidRDefault="00B626B5" w:rsidP="00C30180"/>
    <w:p w:rsidR="00DB42CA" w:rsidRDefault="00DB42CA" w:rsidP="00EB29E0">
      <w:pPr>
        <w:pStyle w:val="Overskrift1"/>
        <w:numPr>
          <w:ilvl w:val="0"/>
          <w:numId w:val="0"/>
        </w:numPr>
        <w:tabs>
          <w:tab w:val="left" w:pos="567"/>
          <w:tab w:val="left" w:pos="851"/>
          <w:tab w:val="left" w:pos="1134"/>
        </w:tabs>
        <w:spacing w:before="0" w:after="120" w:line="288" w:lineRule="auto"/>
      </w:pPr>
      <w:bookmarkStart w:id="65" w:name="_Toc401161388"/>
      <w:r>
        <w:lastRenderedPageBreak/>
        <w:t>Bilag A: Terminologiliste</w:t>
      </w:r>
      <w:bookmarkEnd w:id="65"/>
    </w:p>
    <w:p w:rsidR="00EB29E0" w:rsidRPr="00385A3B" w:rsidRDefault="00EB29E0" w:rsidP="00EB29E0">
      <w:pPr>
        <w:jc w:val="left"/>
        <w:rPr>
          <w:lang w:eastAsia="ja-JP"/>
        </w:rPr>
      </w:pPr>
      <w:r>
        <w:rPr>
          <w:lang w:eastAsia="ja-JP"/>
        </w:rPr>
        <w:t>Relevante termer anvendt i implementeringsplanen og/eller i beskrivelsen af de enkelte arbejdspakker: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69"/>
      </w:tblGrid>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Afleveringsmodel</w:t>
            </w:r>
          </w:p>
        </w:tc>
        <w:tc>
          <w:tcPr>
            <w:tcW w:w="6269" w:type="dxa"/>
          </w:tcPr>
          <w:p w:rsidR="00EB29E0" w:rsidRPr="00273D4D" w:rsidRDefault="00EB29E0" w:rsidP="00EB29E0">
            <w:pPr>
              <w:spacing w:before="120"/>
              <w:jc w:val="left"/>
              <w:rPr>
                <w:szCs w:val="22"/>
                <w:lang w:eastAsia="ja-JP"/>
              </w:rPr>
            </w:pPr>
            <w:r w:rsidRPr="00273D4D">
              <w:rPr>
                <w:szCs w:val="22"/>
                <w:lang w:eastAsia="ja-JP"/>
              </w:rPr>
              <w:t>Beskrivelse af de data som skal overføres fra register til Datafordeler, dvs. fysisk model/format med beskrivelse af tilhørende attributter.</w:t>
            </w:r>
            <w:r w:rsidRPr="00273D4D">
              <w:rPr>
                <w:szCs w:val="22"/>
                <w:lang w:eastAsia="ja-JP"/>
              </w:rPr>
              <w:br/>
              <w:t xml:space="preserve">Format ikke endeligt afklaret p.t. men XMI er et muligt format her. </w:t>
            </w:r>
          </w:p>
        </w:tc>
      </w:tr>
      <w:tr w:rsidR="002B1B0F" w:rsidRPr="00273D4D" w:rsidTr="00EB29E0">
        <w:trPr>
          <w:cantSplit/>
        </w:trPr>
        <w:tc>
          <w:tcPr>
            <w:tcW w:w="2376" w:type="dxa"/>
          </w:tcPr>
          <w:p w:rsidR="002B1B0F" w:rsidRPr="00273D4D" w:rsidRDefault="002B1B0F" w:rsidP="00EB29E0">
            <w:pPr>
              <w:spacing w:before="120"/>
              <w:jc w:val="left"/>
              <w:rPr>
                <w:szCs w:val="22"/>
                <w:lang w:eastAsia="ja-JP"/>
              </w:rPr>
            </w:pPr>
            <w:r>
              <w:rPr>
                <w:szCs w:val="22"/>
                <w:lang w:eastAsia="ja-JP"/>
              </w:rPr>
              <w:t>Arbejdspakke</w:t>
            </w:r>
          </w:p>
        </w:tc>
        <w:tc>
          <w:tcPr>
            <w:tcW w:w="6269" w:type="dxa"/>
          </w:tcPr>
          <w:p w:rsidR="002B1B0F" w:rsidRPr="00273D4D" w:rsidRDefault="002B1B0F" w:rsidP="00EB29E0">
            <w:pPr>
              <w:spacing w:before="120"/>
              <w:jc w:val="left"/>
              <w:rPr>
                <w:szCs w:val="22"/>
                <w:lang w:eastAsia="ja-JP"/>
              </w:rPr>
            </w:pPr>
            <w:r>
              <w:rPr>
                <w:szCs w:val="22"/>
                <w:lang w:eastAsia="ja-JP"/>
              </w:rPr>
              <w:t xml:space="preserve">Fremskaffelse </w:t>
            </w:r>
            <w:r>
              <w:t>af de enkelte produkter foretages i arbejdspakker, som beskriver processen for frembringelse af produktet – herunder de tidsmæssige krav til varighed og deadlines.</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Datamodelgrundlag</w:t>
            </w:r>
          </w:p>
        </w:tc>
        <w:tc>
          <w:tcPr>
            <w:tcW w:w="6269" w:type="dxa"/>
          </w:tcPr>
          <w:p w:rsidR="00EB29E0" w:rsidRPr="00273D4D" w:rsidRDefault="00EB29E0" w:rsidP="00EB29E0">
            <w:pPr>
              <w:spacing w:before="120"/>
              <w:jc w:val="left"/>
              <w:rPr>
                <w:szCs w:val="22"/>
                <w:lang w:eastAsia="ja-JP"/>
              </w:rPr>
            </w:pPr>
            <w:r w:rsidRPr="00273D4D">
              <w:rPr>
                <w:szCs w:val="22"/>
                <w:lang w:eastAsia="ja-JP"/>
              </w:rPr>
              <w:t>Afleveringsmodel, udstillingsmodel og transformationsregler imellem disse.</w:t>
            </w:r>
          </w:p>
        </w:tc>
      </w:tr>
      <w:tr w:rsidR="0080099A" w:rsidRPr="00273D4D" w:rsidTr="00EB29E0">
        <w:trPr>
          <w:cantSplit/>
        </w:trPr>
        <w:tc>
          <w:tcPr>
            <w:tcW w:w="2376" w:type="dxa"/>
          </w:tcPr>
          <w:p w:rsidR="0080099A" w:rsidRPr="00273D4D" w:rsidRDefault="0080099A" w:rsidP="00EB29E0">
            <w:pPr>
              <w:spacing w:before="120"/>
              <w:jc w:val="left"/>
              <w:rPr>
                <w:szCs w:val="22"/>
                <w:lang w:eastAsia="ja-JP"/>
              </w:rPr>
            </w:pPr>
            <w:r>
              <w:rPr>
                <w:szCs w:val="22"/>
                <w:lang w:eastAsia="ja-JP"/>
              </w:rPr>
              <w:t>EF</w:t>
            </w:r>
          </w:p>
        </w:tc>
        <w:tc>
          <w:tcPr>
            <w:tcW w:w="6269" w:type="dxa"/>
          </w:tcPr>
          <w:p w:rsidR="0080099A" w:rsidRPr="00273D4D" w:rsidRDefault="0080099A" w:rsidP="00EB29E0">
            <w:pPr>
              <w:spacing w:before="120"/>
              <w:jc w:val="left"/>
              <w:rPr>
                <w:szCs w:val="22"/>
                <w:lang w:eastAsia="ja-JP"/>
              </w:rPr>
            </w:pPr>
            <w:r>
              <w:rPr>
                <w:szCs w:val="22"/>
                <w:lang w:eastAsia="ja-JP"/>
              </w:rPr>
              <w:t>Forkortelse for projektet ”Ejerfortegnelse”.</w:t>
            </w:r>
          </w:p>
        </w:tc>
      </w:tr>
      <w:tr w:rsidR="0080099A" w:rsidRPr="00273D4D" w:rsidTr="00EB29E0">
        <w:trPr>
          <w:cantSplit/>
        </w:trPr>
        <w:tc>
          <w:tcPr>
            <w:tcW w:w="2376" w:type="dxa"/>
          </w:tcPr>
          <w:p w:rsidR="0080099A" w:rsidRDefault="0080099A" w:rsidP="00EB29E0">
            <w:pPr>
              <w:spacing w:before="120"/>
              <w:jc w:val="left"/>
              <w:rPr>
                <w:szCs w:val="22"/>
                <w:lang w:eastAsia="ja-JP"/>
              </w:rPr>
            </w:pPr>
            <w:r>
              <w:rPr>
                <w:szCs w:val="22"/>
                <w:lang w:eastAsia="ja-JP"/>
              </w:rPr>
              <w:t>eTL</w:t>
            </w:r>
          </w:p>
        </w:tc>
        <w:tc>
          <w:tcPr>
            <w:tcW w:w="6269" w:type="dxa"/>
          </w:tcPr>
          <w:p w:rsidR="0080099A" w:rsidRDefault="0080099A" w:rsidP="0080099A">
            <w:pPr>
              <w:spacing w:before="120"/>
              <w:jc w:val="left"/>
              <w:rPr>
                <w:szCs w:val="22"/>
                <w:lang w:eastAsia="ja-JP"/>
              </w:rPr>
            </w:pPr>
            <w:r>
              <w:rPr>
                <w:szCs w:val="22"/>
                <w:lang w:eastAsia="ja-JP"/>
              </w:rPr>
              <w:t>Forkortelse for Elektronisk Tinglysning.</w:t>
            </w:r>
          </w:p>
        </w:tc>
      </w:tr>
      <w:tr w:rsidR="0080099A" w:rsidRPr="00273D4D" w:rsidTr="00EB29E0">
        <w:trPr>
          <w:cantSplit/>
        </w:trPr>
        <w:tc>
          <w:tcPr>
            <w:tcW w:w="2376" w:type="dxa"/>
          </w:tcPr>
          <w:p w:rsidR="0080099A" w:rsidRPr="00273D4D" w:rsidRDefault="0080099A" w:rsidP="00EB29E0">
            <w:pPr>
              <w:spacing w:before="120"/>
              <w:jc w:val="left"/>
              <w:rPr>
                <w:szCs w:val="22"/>
                <w:lang w:eastAsia="ja-JP"/>
              </w:rPr>
            </w:pPr>
            <w:r>
              <w:rPr>
                <w:szCs w:val="22"/>
                <w:lang w:eastAsia="ja-JP"/>
              </w:rPr>
              <w:t>GST</w:t>
            </w:r>
          </w:p>
        </w:tc>
        <w:tc>
          <w:tcPr>
            <w:tcW w:w="6269" w:type="dxa"/>
          </w:tcPr>
          <w:p w:rsidR="0080099A" w:rsidRPr="00273D4D" w:rsidRDefault="0080099A" w:rsidP="00EB29E0">
            <w:pPr>
              <w:spacing w:before="120"/>
              <w:jc w:val="left"/>
              <w:rPr>
                <w:szCs w:val="22"/>
                <w:lang w:eastAsia="ja-JP"/>
              </w:rPr>
            </w:pPr>
            <w:r>
              <w:rPr>
                <w:szCs w:val="22"/>
                <w:lang w:eastAsia="ja-JP"/>
              </w:rPr>
              <w:t>Forkortelse for Geodatastyrelsen.</w:t>
            </w:r>
          </w:p>
        </w:tc>
      </w:tr>
      <w:tr w:rsidR="0024194D" w:rsidRPr="00273D4D" w:rsidTr="00EB29E0">
        <w:trPr>
          <w:cantSplit/>
        </w:trPr>
        <w:tc>
          <w:tcPr>
            <w:tcW w:w="2376" w:type="dxa"/>
          </w:tcPr>
          <w:p w:rsidR="0024194D" w:rsidRDefault="0024194D" w:rsidP="00EB29E0">
            <w:pPr>
              <w:spacing w:before="120"/>
              <w:jc w:val="left"/>
              <w:rPr>
                <w:szCs w:val="22"/>
                <w:lang w:eastAsia="ja-JP"/>
              </w:rPr>
            </w:pPr>
            <w:r>
              <w:rPr>
                <w:szCs w:val="22"/>
                <w:lang w:eastAsia="ja-JP"/>
              </w:rPr>
              <w:t>Hovedmilepæl</w:t>
            </w:r>
          </w:p>
        </w:tc>
        <w:tc>
          <w:tcPr>
            <w:tcW w:w="6269" w:type="dxa"/>
          </w:tcPr>
          <w:p w:rsidR="0024194D" w:rsidRDefault="0024194D" w:rsidP="00EB29E0">
            <w:pPr>
              <w:spacing w:before="120"/>
              <w:jc w:val="left"/>
              <w:rPr>
                <w:szCs w:val="22"/>
                <w:lang w:eastAsia="ja-JP"/>
              </w:rPr>
            </w:pPr>
            <w:r>
              <w:rPr>
                <w:szCs w:val="22"/>
                <w:lang w:eastAsia="ja-JP"/>
              </w:rPr>
              <w:t>En milepæl på delprogramniveau.</w:t>
            </w:r>
          </w:p>
        </w:tc>
      </w:tr>
      <w:tr w:rsidR="00910285" w:rsidRPr="00273D4D" w:rsidTr="00EB29E0">
        <w:trPr>
          <w:cantSplit/>
        </w:trPr>
        <w:tc>
          <w:tcPr>
            <w:tcW w:w="2376" w:type="dxa"/>
          </w:tcPr>
          <w:p w:rsidR="00910285" w:rsidRDefault="00910285" w:rsidP="00EB29E0">
            <w:pPr>
              <w:spacing w:before="120"/>
              <w:jc w:val="left"/>
              <w:rPr>
                <w:szCs w:val="22"/>
                <w:lang w:eastAsia="ja-JP"/>
              </w:rPr>
            </w:pPr>
            <w:r>
              <w:rPr>
                <w:szCs w:val="22"/>
                <w:lang w:eastAsia="ja-JP"/>
              </w:rPr>
              <w:t>Implementeringsplan</w:t>
            </w:r>
          </w:p>
        </w:tc>
        <w:tc>
          <w:tcPr>
            <w:tcW w:w="6269" w:type="dxa"/>
          </w:tcPr>
          <w:p w:rsidR="00910285" w:rsidRDefault="00304122" w:rsidP="00304122">
            <w:pPr>
              <w:spacing w:before="120"/>
              <w:jc w:val="left"/>
              <w:rPr>
                <w:szCs w:val="22"/>
                <w:lang w:eastAsia="ja-JP"/>
              </w:rPr>
            </w:pPr>
            <w:r>
              <w:rPr>
                <w:szCs w:val="22"/>
                <w:lang w:eastAsia="ja-JP"/>
              </w:rPr>
              <w:t>Et overordnet plandokument (fx dette dokument), som beskriver den samlede udvikling og implementering på et overordnet niveau svarende til delprogrammets ”syn” på de enkelte projekter.</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Integrationstest</w:t>
            </w:r>
            <w:r w:rsidRPr="00273D4D">
              <w:rPr>
                <w:szCs w:val="22"/>
                <w:lang w:eastAsia="ja-JP"/>
              </w:rPr>
              <w:br/>
              <w:t>Intern</w:t>
            </w:r>
            <w:r>
              <w:rPr>
                <w:szCs w:val="22"/>
                <w:lang w:eastAsia="ja-JP"/>
              </w:rPr>
              <w:t>t</w:t>
            </w:r>
          </w:p>
        </w:tc>
        <w:tc>
          <w:tcPr>
            <w:tcW w:w="6269" w:type="dxa"/>
          </w:tcPr>
          <w:p w:rsidR="00EB29E0" w:rsidRPr="00273D4D" w:rsidRDefault="00EB29E0" w:rsidP="00EB29E0">
            <w:pPr>
              <w:spacing w:before="120"/>
              <w:jc w:val="left"/>
              <w:rPr>
                <w:szCs w:val="22"/>
                <w:lang w:eastAsia="ja-JP"/>
              </w:rPr>
            </w:pPr>
            <w:r w:rsidRPr="00273D4D">
              <w:rPr>
                <w:szCs w:val="22"/>
                <w:lang w:eastAsia="ja-JP"/>
              </w:rPr>
              <w:t>Test af integrationer internt i systemet me</w:t>
            </w:r>
            <w:r w:rsidR="0024194D">
              <w:rPr>
                <w:szCs w:val="22"/>
                <w:lang w:eastAsia="ja-JP"/>
              </w:rPr>
              <w:t>llem de forskellige systemdele o</w:t>
            </w:r>
            <w:r w:rsidRPr="00273D4D">
              <w:rPr>
                <w:szCs w:val="22"/>
                <w:lang w:eastAsia="ja-JP"/>
              </w:rPr>
              <w:t>g komponenter, brugerflader mv. Dvs. en integrationstest, som ikke kræver involvering af andre systemer/leverandører.</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Integrationstest</w:t>
            </w:r>
            <w:r w:rsidRPr="00273D4D">
              <w:rPr>
                <w:szCs w:val="22"/>
                <w:lang w:eastAsia="ja-JP"/>
              </w:rPr>
              <w:br/>
              <w:t>Ekstern</w:t>
            </w:r>
            <w:r>
              <w:rPr>
                <w:szCs w:val="22"/>
                <w:lang w:eastAsia="ja-JP"/>
              </w:rPr>
              <w:t>t</w:t>
            </w:r>
          </w:p>
        </w:tc>
        <w:tc>
          <w:tcPr>
            <w:tcW w:w="6269" w:type="dxa"/>
          </w:tcPr>
          <w:p w:rsidR="00EB29E0" w:rsidRPr="00273D4D" w:rsidRDefault="00EB29E0" w:rsidP="00EB29E0">
            <w:pPr>
              <w:spacing w:before="120"/>
              <w:jc w:val="left"/>
              <w:rPr>
                <w:szCs w:val="22"/>
                <w:lang w:eastAsia="ja-JP"/>
              </w:rPr>
            </w:pPr>
            <w:r w:rsidRPr="00273D4D">
              <w:rPr>
                <w:szCs w:val="22"/>
                <w:lang w:eastAsia="ja-JP"/>
              </w:rPr>
              <w:t xml:space="preserve">Test af integrationer </w:t>
            </w:r>
            <w:r>
              <w:rPr>
                <w:szCs w:val="22"/>
                <w:lang w:eastAsia="ja-JP"/>
              </w:rPr>
              <w:t>mellem to eller flere systemer.</w:t>
            </w:r>
            <w:r>
              <w:rPr>
                <w:szCs w:val="22"/>
                <w:lang w:eastAsia="ja-JP"/>
              </w:rPr>
              <w:br/>
              <w:t>Omfatter alt lige fra simple test af en snitflade mellem to systemer (”Snitfladetest”) til en sammenhængende ”end-to-end” test på delprogramniveau omfattende mange systemer.</w:t>
            </w:r>
          </w:p>
        </w:tc>
      </w:tr>
      <w:tr w:rsidR="002B1B0F" w:rsidRPr="00273D4D" w:rsidTr="00EB29E0">
        <w:trPr>
          <w:cantSplit/>
        </w:trPr>
        <w:tc>
          <w:tcPr>
            <w:tcW w:w="2376" w:type="dxa"/>
          </w:tcPr>
          <w:p w:rsidR="002B1B0F" w:rsidRPr="00273D4D" w:rsidRDefault="002B1B0F" w:rsidP="00EB29E0">
            <w:pPr>
              <w:spacing w:before="120"/>
              <w:jc w:val="left"/>
              <w:rPr>
                <w:szCs w:val="22"/>
                <w:lang w:eastAsia="ja-JP"/>
              </w:rPr>
            </w:pPr>
            <w:r>
              <w:rPr>
                <w:szCs w:val="22"/>
                <w:lang w:eastAsia="ja-JP"/>
              </w:rPr>
              <w:t>Leverance</w:t>
            </w:r>
          </w:p>
        </w:tc>
        <w:tc>
          <w:tcPr>
            <w:tcW w:w="6269" w:type="dxa"/>
          </w:tcPr>
          <w:p w:rsidR="002B1B0F" w:rsidRPr="00273D4D" w:rsidRDefault="002B1B0F" w:rsidP="00EB29E0">
            <w:pPr>
              <w:spacing w:before="120"/>
              <w:jc w:val="left"/>
              <w:rPr>
                <w:szCs w:val="22"/>
                <w:lang w:eastAsia="ja-JP"/>
              </w:rPr>
            </w:pPr>
            <w:r>
              <w:rPr>
                <w:szCs w:val="22"/>
                <w:lang w:eastAsia="ja-JP"/>
              </w:rPr>
              <w:t>Se ”Produkt”.</w:t>
            </w:r>
          </w:p>
        </w:tc>
      </w:tr>
      <w:tr w:rsidR="0080099A" w:rsidRPr="00273D4D" w:rsidTr="00EB29E0">
        <w:trPr>
          <w:cantSplit/>
        </w:trPr>
        <w:tc>
          <w:tcPr>
            <w:tcW w:w="2376" w:type="dxa"/>
          </w:tcPr>
          <w:p w:rsidR="0080099A" w:rsidRPr="00273D4D" w:rsidRDefault="0080099A" w:rsidP="00EB29E0">
            <w:pPr>
              <w:spacing w:before="120"/>
              <w:jc w:val="left"/>
              <w:rPr>
                <w:szCs w:val="22"/>
                <w:lang w:eastAsia="ja-JP"/>
              </w:rPr>
            </w:pPr>
            <w:r>
              <w:rPr>
                <w:szCs w:val="22"/>
                <w:lang w:eastAsia="ja-JP"/>
              </w:rPr>
              <w:t>MBBL</w:t>
            </w:r>
          </w:p>
        </w:tc>
        <w:tc>
          <w:tcPr>
            <w:tcW w:w="6269" w:type="dxa"/>
          </w:tcPr>
          <w:p w:rsidR="0080099A" w:rsidRPr="00273D4D" w:rsidRDefault="0080099A" w:rsidP="00EB29E0">
            <w:pPr>
              <w:spacing w:before="120"/>
              <w:jc w:val="left"/>
              <w:rPr>
                <w:szCs w:val="22"/>
                <w:lang w:eastAsia="ja-JP"/>
              </w:rPr>
            </w:pPr>
            <w:r>
              <w:rPr>
                <w:szCs w:val="22"/>
                <w:lang w:eastAsia="ja-JP"/>
              </w:rPr>
              <w:t>Forkortelse for Ministeriet for By-, Bolig og Landdistrikter.</w:t>
            </w:r>
          </w:p>
        </w:tc>
      </w:tr>
      <w:tr w:rsidR="0024194D" w:rsidRPr="00273D4D" w:rsidTr="00EB29E0">
        <w:trPr>
          <w:cantSplit/>
        </w:trPr>
        <w:tc>
          <w:tcPr>
            <w:tcW w:w="2376" w:type="dxa"/>
          </w:tcPr>
          <w:p w:rsidR="0024194D" w:rsidRDefault="0024194D" w:rsidP="00EB29E0">
            <w:pPr>
              <w:spacing w:before="120"/>
              <w:jc w:val="left"/>
              <w:rPr>
                <w:szCs w:val="22"/>
                <w:lang w:eastAsia="ja-JP"/>
              </w:rPr>
            </w:pPr>
            <w:r>
              <w:rPr>
                <w:szCs w:val="22"/>
                <w:lang w:eastAsia="ja-JP"/>
              </w:rPr>
              <w:t>Milepæl</w:t>
            </w:r>
          </w:p>
        </w:tc>
        <w:tc>
          <w:tcPr>
            <w:tcW w:w="6269" w:type="dxa"/>
          </w:tcPr>
          <w:p w:rsidR="0024194D" w:rsidRDefault="0024194D" w:rsidP="0024194D">
            <w:pPr>
              <w:spacing w:before="120"/>
              <w:jc w:val="left"/>
              <w:rPr>
                <w:szCs w:val="22"/>
                <w:lang w:eastAsia="ja-JP"/>
              </w:rPr>
            </w:pPr>
            <w:r>
              <w:rPr>
                <w:szCs w:val="22"/>
                <w:lang w:eastAsia="ja-JP"/>
              </w:rPr>
              <w:t>Et konkret målepunkt i projektet, hvor et eller flere konkrete produkter skal foreligge i den aftalte kvalitet.</w:t>
            </w:r>
          </w:p>
        </w:tc>
      </w:tr>
      <w:tr w:rsidR="0080099A" w:rsidRPr="00273D4D" w:rsidTr="00EB29E0">
        <w:trPr>
          <w:cantSplit/>
        </w:trPr>
        <w:tc>
          <w:tcPr>
            <w:tcW w:w="2376" w:type="dxa"/>
          </w:tcPr>
          <w:p w:rsidR="0080099A" w:rsidRDefault="0080099A" w:rsidP="00EB29E0">
            <w:pPr>
              <w:spacing w:before="120"/>
              <w:jc w:val="left"/>
              <w:rPr>
                <w:szCs w:val="22"/>
                <w:lang w:eastAsia="ja-JP"/>
              </w:rPr>
            </w:pPr>
            <w:r>
              <w:rPr>
                <w:szCs w:val="22"/>
                <w:lang w:eastAsia="ja-JP"/>
              </w:rPr>
              <w:t>MU</w:t>
            </w:r>
          </w:p>
        </w:tc>
        <w:tc>
          <w:tcPr>
            <w:tcW w:w="6269" w:type="dxa"/>
          </w:tcPr>
          <w:p w:rsidR="0080099A" w:rsidRDefault="0080099A" w:rsidP="00EB29E0">
            <w:pPr>
              <w:spacing w:before="120"/>
              <w:jc w:val="left"/>
              <w:rPr>
                <w:szCs w:val="22"/>
                <w:lang w:eastAsia="ja-JP"/>
              </w:rPr>
            </w:pPr>
            <w:r>
              <w:rPr>
                <w:szCs w:val="22"/>
                <w:lang w:eastAsia="ja-JP"/>
              </w:rPr>
              <w:t>Forkortelse for projektet ”Matriklens udvidelse”.</w:t>
            </w:r>
          </w:p>
        </w:tc>
      </w:tr>
      <w:tr w:rsidR="00304122" w:rsidRPr="00273D4D" w:rsidTr="00EB29E0">
        <w:trPr>
          <w:cantSplit/>
        </w:trPr>
        <w:tc>
          <w:tcPr>
            <w:tcW w:w="2376" w:type="dxa"/>
          </w:tcPr>
          <w:p w:rsidR="00304122" w:rsidRDefault="00304122" w:rsidP="00EB29E0">
            <w:pPr>
              <w:spacing w:before="120"/>
              <w:jc w:val="left"/>
              <w:rPr>
                <w:szCs w:val="22"/>
                <w:lang w:eastAsia="ja-JP"/>
              </w:rPr>
            </w:pPr>
            <w:r>
              <w:rPr>
                <w:szCs w:val="22"/>
                <w:lang w:eastAsia="ja-JP"/>
              </w:rPr>
              <w:t>MS Project plan</w:t>
            </w:r>
          </w:p>
        </w:tc>
        <w:tc>
          <w:tcPr>
            <w:tcW w:w="6269" w:type="dxa"/>
          </w:tcPr>
          <w:p w:rsidR="00304122" w:rsidRDefault="00304122" w:rsidP="00304122">
            <w:pPr>
              <w:spacing w:before="120"/>
              <w:jc w:val="left"/>
              <w:rPr>
                <w:szCs w:val="22"/>
                <w:lang w:eastAsia="ja-JP"/>
              </w:rPr>
            </w:pPr>
            <w:r>
              <w:rPr>
                <w:szCs w:val="22"/>
                <w:lang w:eastAsia="ja-JP"/>
              </w:rPr>
              <w:t>En detaljeret plan over alle delprogrammets arbejdspakker og milepæle inkl. afhængigheder mellem disse.</w:t>
            </w:r>
            <w:r>
              <w:t xml:space="preserve"> Anvendes til at konstatere fremdriften i de enkelte arbejdspakker og foretage konsekvensanalyser mv. som følge heraf.</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Opdatering</w:t>
            </w:r>
            <w:proofErr w:type="gramStart"/>
            <w:r w:rsidRPr="00273D4D">
              <w:rPr>
                <w:szCs w:val="22"/>
                <w:lang w:eastAsia="ja-JP"/>
              </w:rPr>
              <w:br/>
              <w:t>(Ift.</w:t>
            </w:r>
            <w:proofErr w:type="gramEnd"/>
            <w:r w:rsidRPr="00273D4D">
              <w:rPr>
                <w:szCs w:val="22"/>
                <w:lang w:eastAsia="ja-JP"/>
              </w:rPr>
              <w:t xml:space="preserve"> Datafordeler)</w:t>
            </w:r>
          </w:p>
        </w:tc>
        <w:tc>
          <w:tcPr>
            <w:tcW w:w="6269" w:type="dxa"/>
          </w:tcPr>
          <w:p w:rsidR="00EB29E0" w:rsidRPr="00273D4D" w:rsidRDefault="00EB29E0" w:rsidP="00EB29E0">
            <w:pPr>
              <w:spacing w:before="120"/>
              <w:jc w:val="left"/>
              <w:rPr>
                <w:szCs w:val="22"/>
                <w:lang w:eastAsia="ja-JP"/>
              </w:rPr>
            </w:pPr>
            <w:r w:rsidRPr="00273D4D">
              <w:rPr>
                <w:rFonts w:asciiTheme="minorHAnsi" w:hAnsiTheme="minorHAnsi"/>
                <w:szCs w:val="22"/>
              </w:rPr>
              <w:t>Handling eller gruppe af handlinger som sikrer, at data løbende overføres fra et register til Datafordeleren</w:t>
            </w:r>
          </w:p>
        </w:tc>
      </w:tr>
      <w:tr w:rsidR="002B1B0F" w:rsidRPr="00273D4D" w:rsidTr="00EB29E0">
        <w:trPr>
          <w:cantSplit/>
        </w:trPr>
        <w:tc>
          <w:tcPr>
            <w:tcW w:w="2376" w:type="dxa"/>
          </w:tcPr>
          <w:p w:rsidR="002B1B0F" w:rsidRPr="00273D4D" w:rsidRDefault="002B1B0F" w:rsidP="00EB29E0">
            <w:pPr>
              <w:spacing w:before="120"/>
              <w:jc w:val="left"/>
              <w:rPr>
                <w:szCs w:val="22"/>
                <w:lang w:eastAsia="ja-JP"/>
              </w:rPr>
            </w:pPr>
            <w:r>
              <w:rPr>
                <w:szCs w:val="22"/>
                <w:lang w:eastAsia="ja-JP"/>
              </w:rPr>
              <w:t>Produkt</w:t>
            </w:r>
          </w:p>
        </w:tc>
        <w:tc>
          <w:tcPr>
            <w:tcW w:w="6269" w:type="dxa"/>
          </w:tcPr>
          <w:p w:rsidR="002B1B0F" w:rsidRPr="00273D4D" w:rsidRDefault="002B1B0F" w:rsidP="002B1B0F">
            <w:pPr>
              <w:spacing w:before="120"/>
              <w:jc w:val="left"/>
              <w:rPr>
                <w:rFonts w:asciiTheme="minorHAnsi" w:hAnsiTheme="minorHAnsi"/>
                <w:szCs w:val="22"/>
              </w:rPr>
            </w:pPr>
            <w:r>
              <w:rPr>
                <w:rFonts w:asciiTheme="minorHAnsi" w:hAnsiTheme="minorHAnsi"/>
                <w:szCs w:val="22"/>
              </w:rPr>
              <w:t>Et konkret produkt/leverance som et projekt via en arbejdspakke leverer til grunddataprogrammet.</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lastRenderedPageBreak/>
              <w:t>Prøvedata</w:t>
            </w:r>
          </w:p>
        </w:tc>
        <w:tc>
          <w:tcPr>
            <w:tcW w:w="6269" w:type="dxa"/>
          </w:tcPr>
          <w:p w:rsidR="00EB29E0" w:rsidRPr="00273D4D" w:rsidRDefault="00EB29E0" w:rsidP="00EB29E0">
            <w:pPr>
              <w:spacing w:before="120"/>
              <w:jc w:val="left"/>
              <w:rPr>
                <w:szCs w:val="22"/>
                <w:lang w:eastAsia="ja-JP"/>
              </w:rPr>
            </w:pPr>
            <w:r w:rsidRPr="00273D4D">
              <w:rPr>
                <w:szCs w:val="22"/>
                <w:lang w:eastAsia="ja-JP"/>
              </w:rPr>
              <w:t>Et sæt registerdata leveret i format svarende til Afleveringsmodel.</w:t>
            </w:r>
            <w:r w:rsidRPr="00273D4D">
              <w:rPr>
                <w:szCs w:val="22"/>
                <w:lang w:eastAsia="ja-JP"/>
              </w:rPr>
              <w:br/>
              <w:t>Optimalt er der tale om et totaludtræk fra registret, men hvor dette ikke er muligt, fx fordi datamodellen ændres grundlæggende ifb. Grunddataprogrammet, kan der blive tale om konstruerede data med et væsentligt færre antal forekomster.</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Registermodel</w:t>
            </w:r>
          </w:p>
        </w:tc>
        <w:tc>
          <w:tcPr>
            <w:tcW w:w="6269" w:type="dxa"/>
          </w:tcPr>
          <w:p w:rsidR="00EB29E0" w:rsidRPr="00273D4D" w:rsidRDefault="00EB29E0" w:rsidP="00EB29E0">
            <w:pPr>
              <w:spacing w:before="120"/>
              <w:jc w:val="left"/>
              <w:rPr>
                <w:szCs w:val="22"/>
                <w:lang w:eastAsia="ja-JP"/>
              </w:rPr>
            </w:pPr>
            <w:r>
              <w:rPr>
                <w:szCs w:val="22"/>
                <w:lang w:eastAsia="ja-JP"/>
              </w:rPr>
              <w:t>Registrets interne datamodel. Kan være modelleret på forskellige niveauer, fx som en forretningsvendt informationsmodel eller som en fysisk datamodel.</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Snitfladetest</w:t>
            </w:r>
          </w:p>
        </w:tc>
        <w:tc>
          <w:tcPr>
            <w:tcW w:w="6269" w:type="dxa"/>
          </w:tcPr>
          <w:p w:rsidR="00EB29E0" w:rsidRPr="00273D4D" w:rsidRDefault="00EB29E0" w:rsidP="00EB29E0">
            <w:pPr>
              <w:spacing w:before="120"/>
              <w:jc w:val="left"/>
              <w:rPr>
                <w:szCs w:val="22"/>
                <w:lang w:eastAsia="ja-JP"/>
              </w:rPr>
            </w:pPr>
            <w:r>
              <w:rPr>
                <w:szCs w:val="22"/>
                <w:lang w:eastAsia="ja-JP"/>
              </w:rPr>
              <w:t>Test af en enkelt snitflade mellem to systemer.</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Synkronisering</w:t>
            </w:r>
          </w:p>
        </w:tc>
        <w:tc>
          <w:tcPr>
            <w:tcW w:w="6269" w:type="dxa"/>
          </w:tcPr>
          <w:p w:rsidR="00EB29E0" w:rsidRPr="00273D4D" w:rsidRDefault="00EB29E0" w:rsidP="00EB29E0">
            <w:pPr>
              <w:spacing w:before="120"/>
              <w:jc w:val="left"/>
              <w:rPr>
                <w:szCs w:val="22"/>
                <w:lang w:eastAsia="ja-JP"/>
              </w:rPr>
            </w:pPr>
            <w:r w:rsidRPr="00273D4D">
              <w:rPr>
                <w:rFonts w:asciiTheme="minorHAnsi" w:hAnsiTheme="minorHAnsi"/>
                <w:color w:val="000000"/>
                <w:szCs w:val="22"/>
              </w:rPr>
              <w:t>Handling eller gruppe af handlinger som sikrer, at de grunddata, der udstilles via datafordeleren stemmer overens med de data, der er registreret i Registrene.</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Testdata</w:t>
            </w:r>
          </w:p>
        </w:tc>
        <w:tc>
          <w:tcPr>
            <w:tcW w:w="6269" w:type="dxa"/>
          </w:tcPr>
          <w:p w:rsidR="00EB29E0" w:rsidRPr="00273D4D" w:rsidRDefault="00EB29E0" w:rsidP="00EB29E0">
            <w:pPr>
              <w:spacing w:before="120"/>
              <w:jc w:val="left"/>
              <w:rPr>
                <w:szCs w:val="22"/>
                <w:lang w:eastAsia="ja-JP"/>
              </w:rPr>
            </w:pPr>
            <w:r w:rsidRPr="00273D4D">
              <w:rPr>
                <w:szCs w:val="22"/>
                <w:lang w:eastAsia="ja-JP"/>
              </w:rPr>
              <w:t xml:space="preserve">Et sæt sammenhængende data, som kan anvendes ift. </w:t>
            </w:r>
            <w:proofErr w:type="gramStart"/>
            <w:r w:rsidRPr="00273D4D">
              <w:rPr>
                <w:szCs w:val="22"/>
                <w:lang w:eastAsia="ja-JP"/>
              </w:rPr>
              <w:t>en given test.</w:t>
            </w:r>
            <w:proofErr w:type="gramEnd"/>
            <w:r w:rsidRPr="00273D4D">
              <w:rPr>
                <w:szCs w:val="22"/>
                <w:lang w:eastAsia="ja-JP"/>
              </w:rPr>
              <w:br/>
              <w:t>Kan forekomme på flere niveauer lige fra test af en enkelt service eller snitflade til en større end-to-end test (”</w:t>
            </w:r>
            <w:proofErr w:type="spellStart"/>
            <w:r w:rsidRPr="00273D4D">
              <w:rPr>
                <w:szCs w:val="22"/>
                <w:lang w:eastAsia="ja-JP"/>
              </w:rPr>
              <w:t>Andeby</w:t>
            </w:r>
            <w:proofErr w:type="spellEnd"/>
            <w:r w:rsidRPr="00273D4D">
              <w:rPr>
                <w:szCs w:val="22"/>
                <w:lang w:eastAsia="ja-JP"/>
              </w:rPr>
              <w:t>”).</w:t>
            </w:r>
          </w:p>
        </w:tc>
      </w:tr>
      <w:tr w:rsidR="0080099A" w:rsidRPr="00273D4D" w:rsidTr="00EB29E0">
        <w:trPr>
          <w:cantSplit/>
        </w:trPr>
        <w:tc>
          <w:tcPr>
            <w:tcW w:w="2376" w:type="dxa"/>
          </w:tcPr>
          <w:p w:rsidR="0080099A" w:rsidRPr="00273D4D" w:rsidRDefault="0080099A" w:rsidP="00EB29E0">
            <w:pPr>
              <w:spacing w:before="120"/>
              <w:jc w:val="left"/>
              <w:rPr>
                <w:szCs w:val="22"/>
                <w:lang w:eastAsia="ja-JP"/>
              </w:rPr>
            </w:pPr>
            <w:r>
              <w:rPr>
                <w:szCs w:val="22"/>
                <w:lang w:eastAsia="ja-JP"/>
              </w:rPr>
              <w:t>TLR</w:t>
            </w:r>
          </w:p>
        </w:tc>
        <w:tc>
          <w:tcPr>
            <w:tcW w:w="6269" w:type="dxa"/>
          </w:tcPr>
          <w:p w:rsidR="0080099A" w:rsidRPr="00273D4D" w:rsidRDefault="0080099A" w:rsidP="00EB29E0">
            <w:pPr>
              <w:spacing w:before="120"/>
              <w:jc w:val="left"/>
              <w:rPr>
                <w:szCs w:val="22"/>
                <w:lang w:eastAsia="ja-JP"/>
              </w:rPr>
            </w:pPr>
            <w:r>
              <w:rPr>
                <w:szCs w:val="22"/>
                <w:lang w:eastAsia="ja-JP"/>
              </w:rPr>
              <w:t>Forkortelse for Tinglysningsretten.</w:t>
            </w:r>
          </w:p>
        </w:tc>
      </w:tr>
      <w:tr w:rsidR="00EB29E0" w:rsidRPr="00273D4D" w:rsidTr="00EB29E0">
        <w:trPr>
          <w:cantSplit/>
        </w:trPr>
        <w:tc>
          <w:tcPr>
            <w:tcW w:w="2376" w:type="dxa"/>
          </w:tcPr>
          <w:p w:rsidR="00EB29E0" w:rsidRPr="00273D4D" w:rsidRDefault="00EB29E0" w:rsidP="00EB29E0">
            <w:pPr>
              <w:spacing w:before="120"/>
              <w:jc w:val="left"/>
              <w:rPr>
                <w:szCs w:val="22"/>
                <w:lang w:eastAsia="ja-JP"/>
              </w:rPr>
            </w:pPr>
            <w:r w:rsidRPr="00273D4D">
              <w:rPr>
                <w:szCs w:val="22"/>
                <w:lang w:eastAsia="ja-JP"/>
              </w:rPr>
              <w:t>Udstillingsmodel</w:t>
            </w:r>
          </w:p>
        </w:tc>
        <w:tc>
          <w:tcPr>
            <w:tcW w:w="6269" w:type="dxa"/>
          </w:tcPr>
          <w:p w:rsidR="00EB29E0" w:rsidRPr="00273D4D" w:rsidRDefault="00EB29E0" w:rsidP="00EB29E0">
            <w:pPr>
              <w:spacing w:before="120"/>
              <w:jc w:val="left"/>
              <w:rPr>
                <w:szCs w:val="22"/>
                <w:lang w:eastAsia="ja-JP"/>
              </w:rPr>
            </w:pPr>
            <w:r w:rsidRPr="00273D4D">
              <w:rPr>
                <w:szCs w:val="22"/>
                <w:lang w:eastAsia="ja-JP"/>
              </w:rPr>
              <w:t>Registrets andel af den fællesoffentlige datamodel. Dvs. en model over de data registret udstiller til anvendere på Datafordeleren.</w:t>
            </w:r>
            <w:r w:rsidRPr="00273D4D">
              <w:rPr>
                <w:szCs w:val="22"/>
                <w:lang w:eastAsia="ja-JP"/>
              </w:rPr>
              <w:br/>
              <w:t>Modellen skal overholde grunddataprogrammets modelleringsregler.</w:t>
            </w:r>
          </w:p>
        </w:tc>
      </w:tr>
      <w:tr w:rsidR="002B1B0F" w:rsidRPr="00273D4D" w:rsidTr="00EB29E0">
        <w:trPr>
          <w:cantSplit/>
        </w:trPr>
        <w:tc>
          <w:tcPr>
            <w:tcW w:w="2376" w:type="dxa"/>
          </w:tcPr>
          <w:p w:rsidR="002B1B0F" w:rsidRPr="00273D4D" w:rsidRDefault="002B1B0F" w:rsidP="00EB29E0">
            <w:pPr>
              <w:spacing w:before="120"/>
              <w:jc w:val="left"/>
              <w:rPr>
                <w:szCs w:val="22"/>
                <w:lang w:eastAsia="ja-JP"/>
              </w:rPr>
            </w:pPr>
            <w:r>
              <w:rPr>
                <w:szCs w:val="22"/>
                <w:lang w:eastAsia="ja-JP"/>
              </w:rPr>
              <w:t>VUR</w:t>
            </w:r>
          </w:p>
        </w:tc>
        <w:tc>
          <w:tcPr>
            <w:tcW w:w="6269" w:type="dxa"/>
          </w:tcPr>
          <w:p w:rsidR="002B1B0F" w:rsidRPr="00273D4D" w:rsidRDefault="002B1B0F" w:rsidP="00EB29E0">
            <w:pPr>
              <w:spacing w:before="120"/>
              <w:jc w:val="left"/>
              <w:rPr>
                <w:szCs w:val="22"/>
                <w:lang w:eastAsia="ja-JP"/>
              </w:rPr>
            </w:pPr>
            <w:r>
              <w:rPr>
                <w:szCs w:val="22"/>
                <w:lang w:eastAsia="ja-JP"/>
              </w:rPr>
              <w:t>Forkortelse for SKAT’s opgave med udstilling af ejendomsvurdering.</w:t>
            </w:r>
          </w:p>
        </w:tc>
      </w:tr>
    </w:tbl>
    <w:p w:rsidR="00DB42CA" w:rsidRDefault="00DB42CA" w:rsidP="00C30180"/>
    <w:sectPr w:rsidR="00DB42CA" w:rsidSect="007B040A">
      <w:headerReference w:type="default" r:id="rId20"/>
      <w:footerReference w:type="default" r:id="rId21"/>
      <w:headerReference w:type="first" r:id="rId22"/>
      <w:footerReference w:type="first" r:id="rId23"/>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F6" w:rsidRDefault="009034F6">
      <w:pPr>
        <w:pStyle w:val="Overskrift1"/>
      </w:pPr>
      <w:r>
        <w:t>References.</w:t>
      </w:r>
    </w:p>
  </w:endnote>
  <w:endnote w:type="continuationSeparator" w:id="0">
    <w:p w:rsidR="009034F6" w:rsidRDefault="0090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F6" w:rsidRDefault="009034F6"/>
  <w:p w:rsidR="009034F6" w:rsidRDefault="009034F6"/>
  <w:tbl>
    <w:tblPr>
      <w:tblW w:w="8755" w:type="dxa"/>
      <w:tblLook w:val="01E0" w:firstRow="1" w:lastRow="1" w:firstColumn="1" w:lastColumn="1" w:noHBand="0" w:noVBand="0"/>
    </w:tblPr>
    <w:tblGrid>
      <w:gridCol w:w="2881"/>
      <w:gridCol w:w="2882"/>
      <w:gridCol w:w="2992"/>
    </w:tblGrid>
    <w:tr w:rsidR="009034F6" w:rsidTr="00022208">
      <w:tc>
        <w:tcPr>
          <w:tcW w:w="2881" w:type="dxa"/>
          <w:shd w:val="clear" w:color="auto" w:fill="auto"/>
        </w:tcPr>
        <w:p w:rsidR="009034F6" w:rsidRDefault="009034F6" w:rsidP="00022208">
          <w:pPr>
            <w:pStyle w:val="Sidehoved"/>
            <w:jc w:val="right"/>
          </w:pPr>
        </w:p>
      </w:tc>
      <w:tc>
        <w:tcPr>
          <w:tcW w:w="2882" w:type="dxa"/>
          <w:shd w:val="clear" w:color="auto" w:fill="auto"/>
        </w:tcPr>
        <w:p w:rsidR="009034F6" w:rsidRDefault="009034F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F41632">
            <w:rPr>
              <w:rStyle w:val="Sidetal"/>
              <w:noProof/>
            </w:rPr>
            <w:t>3</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41632">
            <w:rPr>
              <w:rStyle w:val="Sidetal"/>
              <w:noProof/>
            </w:rPr>
            <w:t>31</w:t>
          </w:r>
          <w:r>
            <w:rPr>
              <w:rStyle w:val="Sidetal"/>
            </w:rPr>
            <w:fldChar w:fldCharType="end"/>
          </w:r>
          <w:r>
            <w:rPr>
              <w:rStyle w:val="Sidetal"/>
            </w:rPr>
            <w:t xml:space="preserve"> -</w:t>
          </w:r>
        </w:p>
      </w:tc>
      <w:tc>
        <w:tcPr>
          <w:tcW w:w="2992" w:type="dxa"/>
          <w:shd w:val="clear" w:color="auto" w:fill="auto"/>
        </w:tcPr>
        <w:p w:rsidR="009034F6" w:rsidRPr="004E5375" w:rsidRDefault="009034F6" w:rsidP="00EC6695">
          <w:pPr>
            <w:pStyle w:val="Sidefod"/>
            <w:jc w:val="right"/>
          </w:pPr>
          <w:r w:rsidRPr="00022208">
            <w:rPr>
              <w:rStyle w:val="Sidetal"/>
              <w:sz w:val="18"/>
              <w:szCs w:val="16"/>
              <w:lang w:eastAsia="da-DK"/>
            </w:rPr>
            <w:t xml:space="preserve"> </w:t>
          </w:r>
        </w:p>
      </w:tc>
    </w:tr>
  </w:tbl>
  <w:p w:rsidR="009034F6" w:rsidRDefault="009034F6" w:rsidP="004E5375">
    <w:pPr>
      <w:pStyle w:val="Sidehoved"/>
      <w:jc w:val="right"/>
    </w:pPr>
  </w:p>
  <w:p w:rsidR="009034F6" w:rsidRDefault="009034F6">
    <w:pPr>
      <w:pStyle w:val="Sidefod"/>
      <w:jc w:val="center"/>
    </w:pPr>
  </w:p>
  <w:p w:rsidR="009034F6" w:rsidRDefault="009034F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9034F6" w:rsidRPr="00022208" w:rsidTr="00022208">
      <w:tc>
        <w:tcPr>
          <w:tcW w:w="7088" w:type="dxa"/>
          <w:shd w:val="clear" w:color="auto" w:fill="auto"/>
        </w:tcPr>
        <w:p w:rsidR="009034F6" w:rsidRDefault="009034F6" w:rsidP="00F41632">
          <w:pPr>
            <w:pStyle w:val="Sidefod"/>
            <w:rPr>
              <w:noProof/>
            </w:rPr>
          </w:pPr>
          <w:r w:rsidRPr="00877C63">
            <w:t>Fil:</w:t>
          </w:r>
          <w:fldSimple w:instr=" FILENAME ">
            <w:r>
              <w:rPr>
                <w:noProof/>
              </w:rPr>
              <w:t>GD1 - Implementeringsplan ver 1.</w:t>
            </w:r>
          </w:fldSimple>
          <w:r w:rsidR="00F41632">
            <w:rPr>
              <w:noProof/>
            </w:rPr>
            <w:t>6</w:t>
          </w:r>
        </w:p>
        <w:p w:rsidR="00F41632" w:rsidRPr="00877C63" w:rsidRDefault="00F41632" w:rsidP="00F41632">
          <w:pPr>
            <w:pStyle w:val="Sidefod"/>
          </w:pPr>
        </w:p>
      </w:tc>
      <w:tc>
        <w:tcPr>
          <w:tcW w:w="1449" w:type="dxa"/>
          <w:shd w:val="clear" w:color="auto" w:fill="auto"/>
        </w:tcPr>
        <w:p w:rsidR="009034F6" w:rsidRPr="00022208" w:rsidRDefault="009034F6" w:rsidP="00022208">
          <w:pPr>
            <w:pStyle w:val="Sidehoved"/>
            <w:jc w:val="right"/>
            <w:rPr>
              <w:smallCaps/>
              <w:sz w:val="16"/>
              <w:szCs w:val="16"/>
            </w:rPr>
          </w:pPr>
        </w:p>
      </w:tc>
    </w:tr>
  </w:tbl>
  <w:p w:rsidR="009034F6" w:rsidRPr="00C251C5" w:rsidRDefault="009034F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F6" w:rsidRDefault="009034F6">
      <w:r>
        <w:separator/>
      </w:r>
    </w:p>
  </w:footnote>
  <w:footnote w:type="continuationSeparator" w:id="0">
    <w:p w:rsidR="009034F6" w:rsidRDefault="009034F6">
      <w:r>
        <w:continuationSeparator/>
      </w:r>
    </w:p>
  </w:footnote>
  <w:footnote w:type="continuationNotice" w:id="1">
    <w:p w:rsidR="009034F6" w:rsidRDefault="009034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F6" w:rsidRDefault="009034F6" w:rsidP="002E781B">
    <w:pPr>
      <w:pStyle w:val="Sidehoved"/>
      <w:rPr>
        <w:sz w:val="16"/>
      </w:rPr>
    </w:pPr>
    <w:r>
      <w:rPr>
        <w:kern w:val="28"/>
        <w:sz w:val="16"/>
      </w:rPr>
      <w:fldChar w:fldCharType="begin"/>
    </w:r>
    <w:r>
      <w:rPr>
        <w:kern w:val="28"/>
        <w:sz w:val="16"/>
      </w:rPr>
      <w:instrText xml:space="preserve"> TITLE  "Ejendomsdataprogrammet - Implementeringsplan"  \* MERGEFORMAT </w:instrText>
    </w:r>
    <w:r>
      <w:rPr>
        <w:kern w:val="28"/>
        <w:sz w:val="16"/>
      </w:rPr>
      <w:fldChar w:fldCharType="separate"/>
    </w:r>
    <w:r>
      <w:rPr>
        <w:kern w:val="28"/>
        <w:sz w:val="16"/>
      </w:rPr>
      <w:t>Ejendomsdataprogrammet - Implementeringsplan</w:t>
    </w:r>
    <w:r>
      <w:rPr>
        <w:kern w:val="28"/>
        <w:sz w:val="16"/>
      </w:rPr>
      <w:fldChar w:fldCharType="end"/>
    </w:r>
  </w:p>
  <w:p w:rsidR="009034F6" w:rsidRPr="006171CF" w:rsidRDefault="009034F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9034F6" w:rsidRDefault="009034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F6" w:rsidRPr="001D4A86" w:rsidRDefault="009034F6" w:rsidP="00786F5A">
    <w:pPr>
      <w:pStyle w:val="Sidehoved"/>
      <w:tabs>
        <w:tab w:val="clear" w:pos="4819"/>
        <w:tab w:val="center" w:pos="4253"/>
      </w:tabs>
    </w:pPr>
    <w:r>
      <w:rPr>
        <w:rFonts w:ascii="Times New Roman" w:hAnsi="Times New Roman"/>
        <w:noProof/>
        <w:sz w:val="24"/>
      </w:rPr>
      <w:drawing>
        <wp:anchor distT="0" distB="0" distL="114300" distR="114300" simplePos="0" relativeHeight="251659264" behindDoc="0" locked="0" layoutInCell="1" allowOverlap="1" wp14:anchorId="647CB033" wp14:editId="1E808B97">
          <wp:simplePos x="0" y="0"/>
          <wp:positionH relativeFrom="column">
            <wp:posOffset>-133350</wp:posOffset>
          </wp:positionH>
          <wp:positionV relativeFrom="paragraph">
            <wp:posOffset>-9855</wp:posOffset>
          </wp:positionV>
          <wp:extent cx="914400" cy="590400"/>
          <wp:effectExtent l="0" t="0" r="0"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4495E1D7" wp14:editId="4505BF49">
          <wp:extent cx="1720800" cy="540000"/>
          <wp:effectExtent l="0" t="0" r="0" b="0"/>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4E48E12"/>
    <w:lvl w:ilvl="0">
      <w:start w:val="1"/>
      <w:numFmt w:val="bullet"/>
      <w:lvlText w:val=""/>
      <w:lvlJc w:val="left"/>
      <w:pPr>
        <w:tabs>
          <w:tab w:val="num" w:pos="643"/>
        </w:tabs>
        <w:ind w:left="643" w:hanging="360"/>
      </w:pPr>
      <w:rPr>
        <w:rFonts w:ascii="Symbol" w:hAnsi="Symbol" w:cs="Symbol" w:hint="default"/>
      </w:rPr>
    </w:lvl>
  </w:abstractNum>
  <w:abstractNum w:abstractNumId="1">
    <w:nsid w:val="FFFFFFFB"/>
    <w:multiLevelType w:val="multilevel"/>
    <w:tmpl w:val="AAEA3E78"/>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2">
    <w:nsid w:val="005B422D"/>
    <w:multiLevelType w:val="hybridMultilevel"/>
    <w:tmpl w:val="FEE09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79E696D"/>
    <w:multiLevelType w:val="hybridMultilevel"/>
    <w:tmpl w:val="D2BC1F12"/>
    <w:lvl w:ilvl="0" w:tplc="5DF27606">
      <w:start w:val="1"/>
      <w:numFmt w:val="decimal"/>
      <w:lvlText w:val="%1."/>
      <w:lvlJc w:val="left"/>
      <w:pPr>
        <w:ind w:left="436" w:hanging="210"/>
      </w:pPr>
      <w:rPr>
        <w:rFonts w:hint="default"/>
      </w:rPr>
    </w:lvl>
    <w:lvl w:ilvl="1" w:tplc="04060017">
      <w:start w:val="1"/>
      <w:numFmt w:val="lowerLetter"/>
      <w:lvlText w:val="%2)"/>
      <w:lvlJc w:val="left"/>
      <w:pPr>
        <w:ind w:left="1156" w:hanging="360"/>
      </w:p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08D50763"/>
    <w:multiLevelType w:val="hybridMultilevel"/>
    <w:tmpl w:val="29E21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C372226"/>
    <w:multiLevelType w:val="hybridMultilevel"/>
    <w:tmpl w:val="3758B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031E7A"/>
    <w:multiLevelType w:val="hybridMultilevel"/>
    <w:tmpl w:val="D8BE73A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7254CC4"/>
    <w:multiLevelType w:val="hybridMultilevel"/>
    <w:tmpl w:val="93BC1C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A05148A"/>
    <w:multiLevelType w:val="hybridMultilevel"/>
    <w:tmpl w:val="5C661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E33C28"/>
    <w:multiLevelType w:val="hybridMultilevel"/>
    <w:tmpl w:val="0FCEB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4B427A16"/>
    <w:multiLevelType w:val="singleLevel"/>
    <w:tmpl w:val="2E6074FA"/>
    <w:lvl w:ilvl="0">
      <w:numFmt w:val="bullet"/>
      <w:pStyle w:val="Opstilling-punkttegnmafstand"/>
      <w:lvlText w:val="*"/>
      <w:lvlJc w:val="left"/>
    </w:lvl>
  </w:abstractNum>
  <w:abstractNum w:abstractNumId="15">
    <w:nsid w:val="52EB4FB4"/>
    <w:multiLevelType w:val="hybridMultilevel"/>
    <w:tmpl w:val="D2E67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17">
    <w:nsid w:val="57326976"/>
    <w:multiLevelType w:val="hybridMultilevel"/>
    <w:tmpl w:val="676E67E4"/>
    <w:lvl w:ilvl="0" w:tplc="0FC4247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B104DC8"/>
    <w:multiLevelType w:val="hybridMultilevel"/>
    <w:tmpl w:val="4B80DB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D986B48"/>
    <w:multiLevelType w:val="hybridMultilevel"/>
    <w:tmpl w:val="EBA261DC"/>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0">
    <w:nsid w:val="5E2048E4"/>
    <w:multiLevelType w:val="hybridMultilevel"/>
    <w:tmpl w:val="24BE101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21">
    <w:nsid w:val="5E594188"/>
    <w:multiLevelType w:val="hybridMultilevel"/>
    <w:tmpl w:val="633445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64BD6BDD"/>
    <w:multiLevelType w:val="hybridMultilevel"/>
    <w:tmpl w:val="EE6ADD0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69D97144"/>
    <w:multiLevelType w:val="hybridMultilevel"/>
    <w:tmpl w:val="7E108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5">
    <w:nsid w:val="6DDC635C"/>
    <w:multiLevelType w:val="hybridMultilevel"/>
    <w:tmpl w:val="11681AAE"/>
    <w:lvl w:ilvl="0" w:tplc="F8E4E7EA">
      <w:start w:val="1"/>
      <w:numFmt w:val="bullet"/>
      <w:lvlText w:val="•"/>
      <w:lvlJc w:val="left"/>
      <w:pPr>
        <w:tabs>
          <w:tab w:val="num" w:pos="720"/>
        </w:tabs>
        <w:ind w:left="720" w:hanging="360"/>
      </w:pPr>
      <w:rPr>
        <w:rFonts w:ascii="Times New Roman" w:hAnsi="Times New Roman" w:hint="default"/>
      </w:rPr>
    </w:lvl>
    <w:lvl w:ilvl="1" w:tplc="BDCE3920">
      <w:start w:val="1641"/>
      <w:numFmt w:val="bullet"/>
      <w:lvlText w:val=""/>
      <w:lvlJc w:val="left"/>
      <w:pPr>
        <w:tabs>
          <w:tab w:val="num" w:pos="1440"/>
        </w:tabs>
        <w:ind w:left="1440" w:hanging="360"/>
      </w:pPr>
      <w:rPr>
        <w:rFonts w:ascii="Wingdings" w:hAnsi="Wingdings" w:hint="default"/>
      </w:rPr>
    </w:lvl>
    <w:lvl w:ilvl="2" w:tplc="08CA8B94" w:tentative="1">
      <w:start w:val="1"/>
      <w:numFmt w:val="bullet"/>
      <w:lvlText w:val="•"/>
      <w:lvlJc w:val="left"/>
      <w:pPr>
        <w:tabs>
          <w:tab w:val="num" w:pos="2160"/>
        </w:tabs>
        <w:ind w:left="2160" w:hanging="360"/>
      </w:pPr>
      <w:rPr>
        <w:rFonts w:ascii="Times New Roman" w:hAnsi="Times New Roman" w:hint="default"/>
      </w:rPr>
    </w:lvl>
    <w:lvl w:ilvl="3" w:tplc="1AF46268" w:tentative="1">
      <w:start w:val="1"/>
      <w:numFmt w:val="bullet"/>
      <w:lvlText w:val="•"/>
      <w:lvlJc w:val="left"/>
      <w:pPr>
        <w:tabs>
          <w:tab w:val="num" w:pos="2880"/>
        </w:tabs>
        <w:ind w:left="2880" w:hanging="360"/>
      </w:pPr>
      <w:rPr>
        <w:rFonts w:ascii="Times New Roman" w:hAnsi="Times New Roman" w:hint="default"/>
      </w:rPr>
    </w:lvl>
    <w:lvl w:ilvl="4" w:tplc="CFC2DB52" w:tentative="1">
      <w:start w:val="1"/>
      <w:numFmt w:val="bullet"/>
      <w:lvlText w:val="•"/>
      <w:lvlJc w:val="left"/>
      <w:pPr>
        <w:tabs>
          <w:tab w:val="num" w:pos="3600"/>
        </w:tabs>
        <w:ind w:left="3600" w:hanging="360"/>
      </w:pPr>
      <w:rPr>
        <w:rFonts w:ascii="Times New Roman" w:hAnsi="Times New Roman" w:hint="default"/>
      </w:rPr>
    </w:lvl>
    <w:lvl w:ilvl="5" w:tplc="66C4F4E0" w:tentative="1">
      <w:start w:val="1"/>
      <w:numFmt w:val="bullet"/>
      <w:lvlText w:val="•"/>
      <w:lvlJc w:val="left"/>
      <w:pPr>
        <w:tabs>
          <w:tab w:val="num" w:pos="4320"/>
        </w:tabs>
        <w:ind w:left="4320" w:hanging="360"/>
      </w:pPr>
      <w:rPr>
        <w:rFonts w:ascii="Times New Roman" w:hAnsi="Times New Roman" w:hint="default"/>
      </w:rPr>
    </w:lvl>
    <w:lvl w:ilvl="6" w:tplc="FDCE6D7A" w:tentative="1">
      <w:start w:val="1"/>
      <w:numFmt w:val="bullet"/>
      <w:lvlText w:val="•"/>
      <w:lvlJc w:val="left"/>
      <w:pPr>
        <w:tabs>
          <w:tab w:val="num" w:pos="5040"/>
        </w:tabs>
        <w:ind w:left="5040" w:hanging="360"/>
      </w:pPr>
      <w:rPr>
        <w:rFonts w:ascii="Times New Roman" w:hAnsi="Times New Roman" w:hint="default"/>
      </w:rPr>
    </w:lvl>
    <w:lvl w:ilvl="7" w:tplc="6AC44D3E" w:tentative="1">
      <w:start w:val="1"/>
      <w:numFmt w:val="bullet"/>
      <w:lvlText w:val="•"/>
      <w:lvlJc w:val="left"/>
      <w:pPr>
        <w:tabs>
          <w:tab w:val="num" w:pos="5760"/>
        </w:tabs>
        <w:ind w:left="5760" w:hanging="360"/>
      </w:pPr>
      <w:rPr>
        <w:rFonts w:ascii="Times New Roman" w:hAnsi="Times New Roman" w:hint="default"/>
      </w:rPr>
    </w:lvl>
    <w:lvl w:ilvl="8" w:tplc="C4EAB65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7246B07"/>
    <w:multiLevelType w:val="hybridMultilevel"/>
    <w:tmpl w:val="6F5EE26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89C53AC"/>
    <w:multiLevelType w:val="hybridMultilevel"/>
    <w:tmpl w:val="6DB05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8F50E52"/>
    <w:multiLevelType w:val="hybridMultilevel"/>
    <w:tmpl w:val="3A4E22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nsid w:val="794B16BA"/>
    <w:multiLevelType w:val="hybridMultilevel"/>
    <w:tmpl w:val="149285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9DB168A"/>
    <w:multiLevelType w:val="hybridMultilevel"/>
    <w:tmpl w:val="FBE29A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FAE0A5E"/>
    <w:multiLevelType w:val="hybridMultilevel"/>
    <w:tmpl w:val="C6EE4F8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4"/>
  </w:num>
  <w:num w:numId="3">
    <w:abstractNumId w:val="11"/>
  </w:num>
  <w:num w:numId="4">
    <w:abstractNumId w:val="6"/>
  </w:num>
  <w:num w:numId="5">
    <w:abstractNumId w:val="14"/>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16"/>
  </w:num>
  <w:num w:numId="7">
    <w:abstractNumId w:val="13"/>
  </w:num>
  <w:num w:numId="8">
    <w:abstractNumId w:val="10"/>
  </w:num>
  <w:num w:numId="9">
    <w:abstractNumId w:val="30"/>
  </w:num>
  <w:num w:numId="10">
    <w:abstractNumId w:val="19"/>
  </w:num>
  <w:num w:numId="11">
    <w:abstractNumId w:val="22"/>
  </w:num>
  <w:num w:numId="12">
    <w:abstractNumId w:val="5"/>
  </w:num>
  <w:num w:numId="13">
    <w:abstractNumId w:val="27"/>
  </w:num>
  <w:num w:numId="14">
    <w:abstractNumId w:val="7"/>
  </w:num>
  <w:num w:numId="15">
    <w:abstractNumId w:val="15"/>
  </w:num>
  <w:num w:numId="16">
    <w:abstractNumId w:val="2"/>
  </w:num>
  <w:num w:numId="17">
    <w:abstractNumId w:val="4"/>
  </w:num>
  <w:num w:numId="18">
    <w:abstractNumId w:val="21"/>
  </w:num>
  <w:num w:numId="19">
    <w:abstractNumId w:val="17"/>
  </w:num>
  <w:num w:numId="20">
    <w:abstractNumId w:val="25"/>
  </w:num>
  <w:num w:numId="21">
    <w:abstractNumId w:val="0"/>
  </w:num>
  <w:num w:numId="22">
    <w:abstractNumId w:val="9"/>
  </w:num>
  <w:num w:numId="23">
    <w:abstractNumId w:val="3"/>
  </w:num>
  <w:num w:numId="24">
    <w:abstractNumId w:val="18"/>
  </w:num>
  <w:num w:numId="25">
    <w:abstractNumId w:val="23"/>
  </w:num>
  <w:num w:numId="26">
    <w:abstractNumId w:val="12"/>
  </w:num>
  <w:num w:numId="27">
    <w:abstractNumId w:val="29"/>
  </w:num>
  <w:num w:numId="28">
    <w:abstractNumId w:val="8"/>
  </w:num>
  <w:num w:numId="29">
    <w:abstractNumId w:val="26"/>
  </w:num>
  <w:num w:numId="30">
    <w:abstractNumId w:val="31"/>
  </w:num>
  <w:num w:numId="31">
    <w:abstractNumId w:val="20"/>
  </w:num>
  <w:num w:numId="32">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2160"/>
    <w:rsid w:val="0000267E"/>
    <w:rsid w:val="00003343"/>
    <w:rsid w:val="00003D45"/>
    <w:rsid w:val="00005005"/>
    <w:rsid w:val="00006AB7"/>
    <w:rsid w:val="0000718E"/>
    <w:rsid w:val="00010548"/>
    <w:rsid w:val="00010B27"/>
    <w:rsid w:val="000117BA"/>
    <w:rsid w:val="000120B4"/>
    <w:rsid w:val="00013A41"/>
    <w:rsid w:val="00013B19"/>
    <w:rsid w:val="00015208"/>
    <w:rsid w:val="000155AE"/>
    <w:rsid w:val="00015D87"/>
    <w:rsid w:val="00016B61"/>
    <w:rsid w:val="00016D7E"/>
    <w:rsid w:val="00017079"/>
    <w:rsid w:val="00017730"/>
    <w:rsid w:val="00021C6A"/>
    <w:rsid w:val="00022208"/>
    <w:rsid w:val="00022E81"/>
    <w:rsid w:val="00025438"/>
    <w:rsid w:val="000309D0"/>
    <w:rsid w:val="00030CD3"/>
    <w:rsid w:val="00032977"/>
    <w:rsid w:val="000344BA"/>
    <w:rsid w:val="0003451B"/>
    <w:rsid w:val="00036170"/>
    <w:rsid w:val="000369B6"/>
    <w:rsid w:val="0003723E"/>
    <w:rsid w:val="00041C30"/>
    <w:rsid w:val="00043DA5"/>
    <w:rsid w:val="00044208"/>
    <w:rsid w:val="000458CB"/>
    <w:rsid w:val="00047E25"/>
    <w:rsid w:val="0005092A"/>
    <w:rsid w:val="00052A5E"/>
    <w:rsid w:val="00056834"/>
    <w:rsid w:val="00056D68"/>
    <w:rsid w:val="00057844"/>
    <w:rsid w:val="00057ECA"/>
    <w:rsid w:val="000606F4"/>
    <w:rsid w:val="000616AA"/>
    <w:rsid w:val="00061BB6"/>
    <w:rsid w:val="000660F2"/>
    <w:rsid w:val="00066551"/>
    <w:rsid w:val="00067469"/>
    <w:rsid w:val="0006796E"/>
    <w:rsid w:val="00070658"/>
    <w:rsid w:val="000717D3"/>
    <w:rsid w:val="00071AF9"/>
    <w:rsid w:val="000723D8"/>
    <w:rsid w:val="00073983"/>
    <w:rsid w:val="0007402E"/>
    <w:rsid w:val="00076695"/>
    <w:rsid w:val="00077231"/>
    <w:rsid w:val="00077BB8"/>
    <w:rsid w:val="0008089A"/>
    <w:rsid w:val="000809BC"/>
    <w:rsid w:val="00081DDA"/>
    <w:rsid w:val="00081EC0"/>
    <w:rsid w:val="00082DAD"/>
    <w:rsid w:val="00083D6B"/>
    <w:rsid w:val="000858E0"/>
    <w:rsid w:val="000860B7"/>
    <w:rsid w:val="0008626D"/>
    <w:rsid w:val="00086457"/>
    <w:rsid w:val="00086E1B"/>
    <w:rsid w:val="00087106"/>
    <w:rsid w:val="00090103"/>
    <w:rsid w:val="00091759"/>
    <w:rsid w:val="000954C4"/>
    <w:rsid w:val="00096D23"/>
    <w:rsid w:val="00097AE2"/>
    <w:rsid w:val="000A00C3"/>
    <w:rsid w:val="000A113C"/>
    <w:rsid w:val="000A1BCD"/>
    <w:rsid w:val="000A5951"/>
    <w:rsid w:val="000A5EFD"/>
    <w:rsid w:val="000A6DF5"/>
    <w:rsid w:val="000A76A6"/>
    <w:rsid w:val="000A78EC"/>
    <w:rsid w:val="000B3A9C"/>
    <w:rsid w:val="000B5078"/>
    <w:rsid w:val="000C24C9"/>
    <w:rsid w:val="000C36F8"/>
    <w:rsid w:val="000C473E"/>
    <w:rsid w:val="000C5EB6"/>
    <w:rsid w:val="000C6065"/>
    <w:rsid w:val="000D1284"/>
    <w:rsid w:val="000D21E6"/>
    <w:rsid w:val="000D27E0"/>
    <w:rsid w:val="000D37E0"/>
    <w:rsid w:val="000D6322"/>
    <w:rsid w:val="000E1602"/>
    <w:rsid w:val="000E40D5"/>
    <w:rsid w:val="000E4578"/>
    <w:rsid w:val="000E7E46"/>
    <w:rsid w:val="000F0F39"/>
    <w:rsid w:val="000F1424"/>
    <w:rsid w:val="000F26DE"/>
    <w:rsid w:val="000F3E53"/>
    <w:rsid w:val="000F528C"/>
    <w:rsid w:val="000F772D"/>
    <w:rsid w:val="00100899"/>
    <w:rsid w:val="00100D6B"/>
    <w:rsid w:val="001026E3"/>
    <w:rsid w:val="00102B70"/>
    <w:rsid w:val="00103EC6"/>
    <w:rsid w:val="00104568"/>
    <w:rsid w:val="00104E22"/>
    <w:rsid w:val="00106589"/>
    <w:rsid w:val="0010747A"/>
    <w:rsid w:val="00110B5D"/>
    <w:rsid w:val="001154C3"/>
    <w:rsid w:val="001160F1"/>
    <w:rsid w:val="0011620D"/>
    <w:rsid w:val="00116A33"/>
    <w:rsid w:val="00117EEE"/>
    <w:rsid w:val="00120A8D"/>
    <w:rsid w:val="00122389"/>
    <w:rsid w:val="00122989"/>
    <w:rsid w:val="001242FA"/>
    <w:rsid w:val="00125671"/>
    <w:rsid w:val="00130123"/>
    <w:rsid w:val="001317E1"/>
    <w:rsid w:val="001323E5"/>
    <w:rsid w:val="0013267C"/>
    <w:rsid w:val="001339F5"/>
    <w:rsid w:val="00137A55"/>
    <w:rsid w:val="00140B7D"/>
    <w:rsid w:val="00140FFD"/>
    <w:rsid w:val="00141B06"/>
    <w:rsid w:val="0014252A"/>
    <w:rsid w:val="001454BD"/>
    <w:rsid w:val="0014604D"/>
    <w:rsid w:val="00150365"/>
    <w:rsid w:val="00156C0B"/>
    <w:rsid w:val="00160122"/>
    <w:rsid w:val="001616B7"/>
    <w:rsid w:val="00162636"/>
    <w:rsid w:val="00162851"/>
    <w:rsid w:val="001629BF"/>
    <w:rsid w:val="0016333D"/>
    <w:rsid w:val="001644CD"/>
    <w:rsid w:val="001663ED"/>
    <w:rsid w:val="001664CA"/>
    <w:rsid w:val="00166F88"/>
    <w:rsid w:val="0017096B"/>
    <w:rsid w:val="00170D27"/>
    <w:rsid w:val="0017126A"/>
    <w:rsid w:val="00172298"/>
    <w:rsid w:val="00173412"/>
    <w:rsid w:val="00174661"/>
    <w:rsid w:val="0017574A"/>
    <w:rsid w:val="00175FAF"/>
    <w:rsid w:val="0017629B"/>
    <w:rsid w:val="0017740D"/>
    <w:rsid w:val="0017783F"/>
    <w:rsid w:val="00180720"/>
    <w:rsid w:val="001830C2"/>
    <w:rsid w:val="00183898"/>
    <w:rsid w:val="00183D0D"/>
    <w:rsid w:val="00183EAE"/>
    <w:rsid w:val="00190401"/>
    <w:rsid w:val="00190E0E"/>
    <w:rsid w:val="00194598"/>
    <w:rsid w:val="00194EF5"/>
    <w:rsid w:val="001968B3"/>
    <w:rsid w:val="00196A8C"/>
    <w:rsid w:val="00197118"/>
    <w:rsid w:val="00197718"/>
    <w:rsid w:val="001A0171"/>
    <w:rsid w:val="001A24F4"/>
    <w:rsid w:val="001A4CE0"/>
    <w:rsid w:val="001A5762"/>
    <w:rsid w:val="001A6CA4"/>
    <w:rsid w:val="001B0BDF"/>
    <w:rsid w:val="001B2DCF"/>
    <w:rsid w:val="001B3525"/>
    <w:rsid w:val="001B6711"/>
    <w:rsid w:val="001C40E8"/>
    <w:rsid w:val="001C461F"/>
    <w:rsid w:val="001C6D35"/>
    <w:rsid w:val="001D0511"/>
    <w:rsid w:val="001D1FF0"/>
    <w:rsid w:val="001D3718"/>
    <w:rsid w:val="001D48AD"/>
    <w:rsid w:val="001D4A86"/>
    <w:rsid w:val="001D6A7A"/>
    <w:rsid w:val="001D7F30"/>
    <w:rsid w:val="001E0F45"/>
    <w:rsid w:val="001E419A"/>
    <w:rsid w:val="001E5F2A"/>
    <w:rsid w:val="001F018C"/>
    <w:rsid w:val="001F480D"/>
    <w:rsid w:val="001F5595"/>
    <w:rsid w:val="00202E97"/>
    <w:rsid w:val="00205F48"/>
    <w:rsid w:val="00206B48"/>
    <w:rsid w:val="00206CA4"/>
    <w:rsid w:val="0020735C"/>
    <w:rsid w:val="002144DF"/>
    <w:rsid w:val="002144EB"/>
    <w:rsid w:val="002148C1"/>
    <w:rsid w:val="002166CB"/>
    <w:rsid w:val="00220D79"/>
    <w:rsid w:val="00222B47"/>
    <w:rsid w:val="00222D35"/>
    <w:rsid w:val="00224534"/>
    <w:rsid w:val="002261C8"/>
    <w:rsid w:val="00227E24"/>
    <w:rsid w:val="00230637"/>
    <w:rsid w:val="00231622"/>
    <w:rsid w:val="00231F6A"/>
    <w:rsid w:val="00233400"/>
    <w:rsid w:val="002356E4"/>
    <w:rsid w:val="00235F92"/>
    <w:rsid w:val="002410AD"/>
    <w:rsid w:val="002411FD"/>
    <w:rsid w:val="0024194D"/>
    <w:rsid w:val="00243844"/>
    <w:rsid w:val="002448AF"/>
    <w:rsid w:val="0024753C"/>
    <w:rsid w:val="002506B3"/>
    <w:rsid w:val="00252534"/>
    <w:rsid w:val="00252584"/>
    <w:rsid w:val="00253479"/>
    <w:rsid w:val="00257ABE"/>
    <w:rsid w:val="00260023"/>
    <w:rsid w:val="00260F2B"/>
    <w:rsid w:val="00262F15"/>
    <w:rsid w:val="00266C0B"/>
    <w:rsid w:val="00267286"/>
    <w:rsid w:val="00267931"/>
    <w:rsid w:val="00267ED0"/>
    <w:rsid w:val="00272C96"/>
    <w:rsid w:val="002740DE"/>
    <w:rsid w:val="002745BA"/>
    <w:rsid w:val="002759C9"/>
    <w:rsid w:val="00275D8A"/>
    <w:rsid w:val="00281BA4"/>
    <w:rsid w:val="00281E8D"/>
    <w:rsid w:val="002831D7"/>
    <w:rsid w:val="00285836"/>
    <w:rsid w:val="00290435"/>
    <w:rsid w:val="002911E3"/>
    <w:rsid w:val="002920F7"/>
    <w:rsid w:val="00292585"/>
    <w:rsid w:val="0029419D"/>
    <w:rsid w:val="00294AC8"/>
    <w:rsid w:val="002A57B2"/>
    <w:rsid w:val="002A5C16"/>
    <w:rsid w:val="002A5D11"/>
    <w:rsid w:val="002B0351"/>
    <w:rsid w:val="002B10B3"/>
    <w:rsid w:val="002B1B0F"/>
    <w:rsid w:val="002B27C2"/>
    <w:rsid w:val="002B4154"/>
    <w:rsid w:val="002B4B6B"/>
    <w:rsid w:val="002B63EF"/>
    <w:rsid w:val="002B7B8F"/>
    <w:rsid w:val="002D1302"/>
    <w:rsid w:val="002D1876"/>
    <w:rsid w:val="002D2A99"/>
    <w:rsid w:val="002D41B7"/>
    <w:rsid w:val="002D62E5"/>
    <w:rsid w:val="002D7B62"/>
    <w:rsid w:val="002E0BB8"/>
    <w:rsid w:val="002E7169"/>
    <w:rsid w:val="002E73DE"/>
    <w:rsid w:val="002E781B"/>
    <w:rsid w:val="002E7BFC"/>
    <w:rsid w:val="002E7C14"/>
    <w:rsid w:val="002F09A1"/>
    <w:rsid w:val="002F276C"/>
    <w:rsid w:val="002F59D5"/>
    <w:rsid w:val="002F63CF"/>
    <w:rsid w:val="002F7F8B"/>
    <w:rsid w:val="00304122"/>
    <w:rsid w:val="0030566B"/>
    <w:rsid w:val="00305C97"/>
    <w:rsid w:val="00307087"/>
    <w:rsid w:val="003144F0"/>
    <w:rsid w:val="00315660"/>
    <w:rsid w:val="00317325"/>
    <w:rsid w:val="00317358"/>
    <w:rsid w:val="003175A2"/>
    <w:rsid w:val="00321AB3"/>
    <w:rsid w:val="00322993"/>
    <w:rsid w:val="0032694A"/>
    <w:rsid w:val="00327738"/>
    <w:rsid w:val="00327937"/>
    <w:rsid w:val="00327BF2"/>
    <w:rsid w:val="00327F51"/>
    <w:rsid w:val="003313CF"/>
    <w:rsid w:val="0033177F"/>
    <w:rsid w:val="00332CB8"/>
    <w:rsid w:val="00333280"/>
    <w:rsid w:val="00333323"/>
    <w:rsid w:val="00333750"/>
    <w:rsid w:val="00335BBE"/>
    <w:rsid w:val="0033652F"/>
    <w:rsid w:val="00336553"/>
    <w:rsid w:val="00336750"/>
    <w:rsid w:val="00337210"/>
    <w:rsid w:val="003375B5"/>
    <w:rsid w:val="00341511"/>
    <w:rsid w:val="00341F0C"/>
    <w:rsid w:val="003421A0"/>
    <w:rsid w:val="003430A8"/>
    <w:rsid w:val="00343112"/>
    <w:rsid w:val="00343AE2"/>
    <w:rsid w:val="00343E42"/>
    <w:rsid w:val="00345A75"/>
    <w:rsid w:val="00345FC0"/>
    <w:rsid w:val="003516A9"/>
    <w:rsid w:val="00352CCA"/>
    <w:rsid w:val="003534DC"/>
    <w:rsid w:val="00354DE7"/>
    <w:rsid w:val="00354F78"/>
    <w:rsid w:val="003570A5"/>
    <w:rsid w:val="00357AFE"/>
    <w:rsid w:val="00363545"/>
    <w:rsid w:val="0036377D"/>
    <w:rsid w:val="00363AB0"/>
    <w:rsid w:val="00363F97"/>
    <w:rsid w:val="00365379"/>
    <w:rsid w:val="00365B6B"/>
    <w:rsid w:val="00370FEC"/>
    <w:rsid w:val="0037142C"/>
    <w:rsid w:val="003728AF"/>
    <w:rsid w:val="00375C4B"/>
    <w:rsid w:val="003762F2"/>
    <w:rsid w:val="00376CD9"/>
    <w:rsid w:val="003774F7"/>
    <w:rsid w:val="00380151"/>
    <w:rsid w:val="00380D16"/>
    <w:rsid w:val="003819BF"/>
    <w:rsid w:val="00382B04"/>
    <w:rsid w:val="00384CB4"/>
    <w:rsid w:val="00384D97"/>
    <w:rsid w:val="00384E4F"/>
    <w:rsid w:val="00386E8B"/>
    <w:rsid w:val="0038719B"/>
    <w:rsid w:val="00392888"/>
    <w:rsid w:val="003931DD"/>
    <w:rsid w:val="0039534E"/>
    <w:rsid w:val="0039593C"/>
    <w:rsid w:val="003A0904"/>
    <w:rsid w:val="003A0B16"/>
    <w:rsid w:val="003A3529"/>
    <w:rsid w:val="003A5ACA"/>
    <w:rsid w:val="003A6BF4"/>
    <w:rsid w:val="003B1099"/>
    <w:rsid w:val="003B17DC"/>
    <w:rsid w:val="003B46A1"/>
    <w:rsid w:val="003B4CE2"/>
    <w:rsid w:val="003B4D72"/>
    <w:rsid w:val="003B543C"/>
    <w:rsid w:val="003B5D3E"/>
    <w:rsid w:val="003B5EFF"/>
    <w:rsid w:val="003B76FE"/>
    <w:rsid w:val="003C0F38"/>
    <w:rsid w:val="003C1547"/>
    <w:rsid w:val="003C481D"/>
    <w:rsid w:val="003C4F1C"/>
    <w:rsid w:val="003C5737"/>
    <w:rsid w:val="003E0026"/>
    <w:rsid w:val="003E03FD"/>
    <w:rsid w:val="003E184A"/>
    <w:rsid w:val="003E293B"/>
    <w:rsid w:val="003E2FD2"/>
    <w:rsid w:val="003E3ACD"/>
    <w:rsid w:val="003E7077"/>
    <w:rsid w:val="003E72CE"/>
    <w:rsid w:val="003F1B70"/>
    <w:rsid w:val="003F1EB9"/>
    <w:rsid w:val="003F27F1"/>
    <w:rsid w:val="003F3519"/>
    <w:rsid w:val="003F399E"/>
    <w:rsid w:val="003F3DFB"/>
    <w:rsid w:val="003F5148"/>
    <w:rsid w:val="004029ED"/>
    <w:rsid w:val="0041042C"/>
    <w:rsid w:val="00410DA1"/>
    <w:rsid w:val="00411E7F"/>
    <w:rsid w:val="0041260C"/>
    <w:rsid w:val="0041470C"/>
    <w:rsid w:val="00414AFE"/>
    <w:rsid w:val="00414B43"/>
    <w:rsid w:val="00414FC9"/>
    <w:rsid w:val="004150B2"/>
    <w:rsid w:val="004154D0"/>
    <w:rsid w:val="0041601E"/>
    <w:rsid w:val="004165E3"/>
    <w:rsid w:val="00416AD8"/>
    <w:rsid w:val="004212EA"/>
    <w:rsid w:val="004252A9"/>
    <w:rsid w:val="00426151"/>
    <w:rsid w:val="004266B3"/>
    <w:rsid w:val="00426E08"/>
    <w:rsid w:val="00427F17"/>
    <w:rsid w:val="00430CFB"/>
    <w:rsid w:val="00431909"/>
    <w:rsid w:val="004349F6"/>
    <w:rsid w:val="00435AED"/>
    <w:rsid w:val="00435D39"/>
    <w:rsid w:val="0043770B"/>
    <w:rsid w:val="004417C1"/>
    <w:rsid w:val="00443B06"/>
    <w:rsid w:val="00445724"/>
    <w:rsid w:val="00450061"/>
    <w:rsid w:val="00450E62"/>
    <w:rsid w:val="00451453"/>
    <w:rsid w:val="0045392C"/>
    <w:rsid w:val="00453D03"/>
    <w:rsid w:val="0045440D"/>
    <w:rsid w:val="004545EB"/>
    <w:rsid w:val="0045596C"/>
    <w:rsid w:val="00455D35"/>
    <w:rsid w:val="004568D9"/>
    <w:rsid w:val="004608B0"/>
    <w:rsid w:val="004609D5"/>
    <w:rsid w:val="00462F12"/>
    <w:rsid w:val="00463D42"/>
    <w:rsid w:val="00466360"/>
    <w:rsid w:val="00466EBD"/>
    <w:rsid w:val="0047389B"/>
    <w:rsid w:val="0048196E"/>
    <w:rsid w:val="00481CBA"/>
    <w:rsid w:val="00484383"/>
    <w:rsid w:val="00485E9C"/>
    <w:rsid w:val="00486A2A"/>
    <w:rsid w:val="00486DC4"/>
    <w:rsid w:val="00490501"/>
    <w:rsid w:val="004907CF"/>
    <w:rsid w:val="00491C2C"/>
    <w:rsid w:val="00492FFD"/>
    <w:rsid w:val="00493155"/>
    <w:rsid w:val="00493599"/>
    <w:rsid w:val="004955B1"/>
    <w:rsid w:val="004A0C26"/>
    <w:rsid w:val="004A1EB5"/>
    <w:rsid w:val="004A2282"/>
    <w:rsid w:val="004A3859"/>
    <w:rsid w:val="004A41F3"/>
    <w:rsid w:val="004A61F6"/>
    <w:rsid w:val="004A623A"/>
    <w:rsid w:val="004A68ED"/>
    <w:rsid w:val="004A79B7"/>
    <w:rsid w:val="004B3A07"/>
    <w:rsid w:val="004B3BFA"/>
    <w:rsid w:val="004B3E46"/>
    <w:rsid w:val="004B3EF6"/>
    <w:rsid w:val="004B5A95"/>
    <w:rsid w:val="004B647B"/>
    <w:rsid w:val="004C29B8"/>
    <w:rsid w:val="004C2CD2"/>
    <w:rsid w:val="004C5CFD"/>
    <w:rsid w:val="004C7A00"/>
    <w:rsid w:val="004D0565"/>
    <w:rsid w:val="004D09C1"/>
    <w:rsid w:val="004D5B80"/>
    <w:rsid w:val="004E00B0"/>
    <w:rsid w:val="004E1EF7"/>
    <w:rsid w:val="004E32BD"/>
    <w:rsid w:val="004E41B1"/>
    <w:rsid w:val="004E5375"/>
    <w:rsid w:val="004E760E"/>
    <w:rsid w:val="004F2554"/>
    <w:rsid w:val="004F5434"/>
    <w:rsid w:val="004F5B5C"/>
    <w:rsid w:val="004F65DD"/>
    <w:rsid w:val="004F7E41"/>
    <w:rsid w:val="005038C8"/>
    <w:rsid w:val="005058E8"/>
    <w:rsid w:val="0050674A"/>
    <w:rsid w:val="005078C7"/>
    <w:rsid w:val="00515506"/>
    <w:rsid w:val="005230FB"/>
    <w:rsid w:val="005238DD"/>
    <w:rsid w:val="00524270"/>
    <w:rsid w:val="00527274"/>
    <w:rsid w:val="00527516"/>
    <w:rsid w:val="005275B4"/>
    <w:rsid w:val="00530BE4"/>
    <w:rsid w:val="00533B6F"/>
    <w:rsid w:val="00534AF5"/>
    <w:rsid w:val="00534B4A"/>
    <w:rsid w:val="00534B96"/>
    <w:rsid w:val="00541775"/>
    <w:rsid w:val="005425BA"/>
    <w:rsid w:val="005434BE"/>
    <w:rsid w:val="00544BDD"/>
    <w:rsid w:val="0054540A"/>
    <w:rsid w:val="005455C5"/>
    <w:rsid w:val="005457B4"/>
    <w:rsid w:val="00546235"/>
    <w:rsid w:val="00547925"/>
    <w:rsid w:val="00547CE3"/>
    <w:rsid w:val="005505B2"/>
    <w:rsid w:val="005549E6"/>
    <w:rsid w:val="005561B0"/>
    <w:rsid w:val="00557B38"/>
    <w:rsid w:val="00560A1E"/>
    <w:rsid w:val="00562427"/>
    <w:rsid w:val="0057015E"/>
    <w:rsid w:val="00574DA8"/>
    <w:rsid w:val="00575356"/>
    <w:rsid w:val="00575569"/>
    <w:rsid w:val="005756A1"/>
    <w:rsid w:val="005757EE"/>
    <w:rsid w:val="005760D1"/>
    <w:rsid w:val="005776C8"/>
    <w:rsid w:val="00577EE2"/>
    <w:rsid w:val="00580462"/>
    <w:rsid w:val="005816C8"/>
    <w:rsid w:val="00582372"/>
    <w:rsid w:val="00585088"/>
    <w:rsid w:val="005857D2"/>
    <w:rsid w:val="005864DD"/>
    <w:rsid w:val="00586775"/>
    <w:rsid w:val="005879CE"/>
    <w:rsid w:val="00587F95"/>
    <w:rsid w:val="00591640"/>
    <w:rsid w:val="00591706"/>
    <w:rsid w:val="00591913"/>
    <w:rsid w:val="00591A67"/>
    <w:rsid w:val="00592776"/>
    <w:rsid w:val="00592CAA"/>
    <w:rsid w:val="005A0697"/>
    <w:rsid w:val="005A077F"/>
    <w:rsid w:val="005A0D03"/>
    <w:rsid w:val="005A0DAB"/>
    <w:rsid w:val="005A7670"/>
    <w:rsid w:val="005A7988"/>
    <w:rsid w:val="005B05B4"/>
    <w:rsid w:val="005B19C2"/>
    <w:rsid w:val="005B3827"/>
    <w:rsid w:val="005B41D5"/>
    <w:rsid w:val="005B5212"/>
    <w:rsid w:val="005B59BE"/>
    <w:rsid w:val="005B6070"/>
    <w:rsid w:val="005B7AD0"/>
    <w:rsid w:val="005C108A"/>
    <w:rsid w:val="005C2919"/>
    <w:rsid w:val="005C426C"/>
    <w:rsid w:val="005C4C0D"/>
    <w:rsid w:val="005C68E4"/>
    <w:rsid w:val="005D1A74"/>
    <w:rsid w:val="005D242A"/>
    <w:rsid w:val="005D4FD5"/>
    <w:rsid w:val="005D6A09"/>
    <w:rsid w:val="005D7B40"/>
    <w:rsid w:val="005E06E4"/>
    <w:rsid w:val="005E0BD4"/>
    <w:rsid w:val="005E1050"/>
    <w:rsid w:val="005E6901"/>
    <w:rsid w:val="005F0585"/>
    <w:rsid w:val="005F1492"/>
    <w:rsid w:val="005F1F35"/>
    <w:rsid w:val="005F24A1"/>
    <w:rsid w:val="005F2AE3"/>
    <w:rsid w:val="005F38AC"/>
    <w:rsid w:val="005F415B"/>
    <w:rsid w:val="005F45F2"/>
    <w:rsid w:val="005F64B6"/>
    <w:rsid w:val="00602F6F"/>
    <w:rsid w:val="00606318"/>
    <w:rsid w:val="0061060E"/>
    <w:rsid w:val="00613B2D"/>
    <w:rsid w:val="006171CF"/>
    <w:rsid w:val="0061725E"/>
    <w:rsid w:val="00617CD9"/>
    <w:rsid w:val="006218AA"/>
    <w:rsid w:val="00622C17"/>
    <w:rsid w:val="00622E37"/>
    <w:rsid w:val="00627488"/>
    <w:rsid w:val="00632661"/>
    <w:rsid w:val="00632A76"/>
    <w:rsid w:val="00636C86"/>
    <w:rsid w:val="0063718D"/>
    <w:rsid w:val="006408A3"/>
    <w:rsid w:val="00641365"/>
    <w:rsid w:val="00641FF7"/>
    <w:rsid w:val="006423FD"/>
    <w:rsid w:val="00642847"/>
    <w:rsid w:val="0064343A"/>
    <w:rsid w:val="00646676"/>
    <w:rsid w:val="0064723E"/>
    <w:rsid w:val="006518B8"/>
    <w:rsid w:val="00651C45"/>
    <w:rsid w:val="00660AB1"/>
    <w:rsid w:val="00663949"/>
    <w:rsid w:val="00666ABC"/>
    <w:rsid w:val="00670E03"/>
    <w:rsid w:val="00671D91"/>
    <w:rsid w:val="00671E6C"/>
    <w:rsid w:val="00672B06"/>
    <w:rsid w:val="00674CEF"/>
    <w:rsid w:val="00675D25"/>
    <w:rsid w:val="0067657C"/>
    <w:rsid w:val="0067681D"/>
    <w:rsid w:val="006848D0"/>
    <w:rsid w:val="00686068"/>
    <w:rsid w:val="00687AC0"/>
    <w:rsid w:val="006922DF"/>
    <w:rsid w:val="00692CD6"/>
    <w:rsid w:val="00693394"/>
    <w:rsid w:val="00697468"/>
    <w:rsid w:val="00697D8D"/>
    <w:rsid w:val="006A021B"/>
    <w:rsid w:val="006A0FB8"/>
    <w:rsid w:val="006A1DD1"/>
    <w:rsid w:val="006A73CD"/>
    <w:rsid w:val="006B1141"/>
    <w:rsid w:val="006B11DA"/>
    <w:rsid w:val="006B3382"/>
    <w:rsid w:val="006C09AE"/>
    <w:rsid w:val="006C286D"/>
    <w:rsid w:val="006C2BD0"/>
    <w:rsid w:val="006D093E"/>
    <w:rsid w:val="006D10BD"/>
    <w:rsid w:val="006D24AC"/>
    <w:rsid w:val="006D35C0"/>
    <w:rsid w:val="006D433A"/>
    <w:rsid w:val="006D4922"/>
    <w:rsid w:val="006D586A"/>
    <w:rsid w:val="006D5EF3"/>
    <w:rsid w:val="006D6379"/>
    <w:rsid w:val="006D71B1"/>
    <w:rsid w:val="006E2773"/>
    <w:rsid w:val="006E28DA"/>
    <w:rsid w:val="006E2977"/>
    <w:rsid w:val="006E58FF"/>
    <w:rsid w:val="006E636D"/>
    <w:rsid w:val="006E6D76"/>
    <w:rsid w:val="006F2651"/>
    <w:rsid w:val="006F4EBA"/>
    <w:rsid w:val="006F5D2F"/>
    <w:rsid w:val="007000C0"/>
    <w:rsid w:val="0070381E"/>
    <w:rsid w:val="007050C9"/>
    <w:rsid w:val="00705C4D"/>
    <w:rsid w:val="00706427"/>
    <w:rsid w:val="0070647F"/>
    <w:rsid w:val="00707642"/>
    <w:rsid w:val="0071039A"/>
    <w:rsid w:val="00711018"/>
    <w:rsid w:val="00711E42"/>
    <w:rsid w:val="00714A76"/>
    <w:rsid w:val="0071579C"/>
    <w:rsid w:val="00716A74"/>
    <w:rsid w:val="00722BC1"/>
    <w:rsid w:val="007238FC"/>
    <w:rsid w:val="0072482A"/>
    <w:rsid w:val="0072702F"/>
    <w:rsid w:val="00730D94"/>
    <w:rsid w:val="00732551"/>
    <w:rsid w:val="0073321F"/>
    <w:rsid w:val="00733AE1"/>
    <w:rsid w:val="0075338C"/>
    <w:rsid w:val="007633F8"/>
    <w:rsid w:val="007636CD"/>
    <w:rsid w:val="007660E9"/>
    <w:rsid w:val="00770095"/>
    <w:rsid w:val="00770E38"/>
    <w:rsid w:val="00772AE6"/>
    <w:rsid w:val="0077348C"/>
    <w:rsid w:val="00773511"/>
    <w:rsid w:val="0077381F"/>
    <w:rsid w:val="007746A1"/>
    <w:rsid w:val="007757B0"/>
    <w:rsid w:val="0077624C"/>
    <w:rsid w:val="007768BF"/>
    <w:rsid w:val="00780E22"/>
    <w:rsid w:val="00783A3B"/>
    <w:rsid w:val="00784466"/>
    <w:rsid w:val="007854D0"/>
    <w:rsid w:val="007868A2"/>
    <w:rsid w:val="00786F5A"/>
    <w:rsid w:val="007913AB"/>
    <w:rsid w:val="00791994"/>
    <w:rsid w:val="00792530"/>
    <w:rsid w:val="00794826"/>
    <w:rsid w:val="00795BFD"/>
    <w:rsid w:val="00796593"/>
    <w:rsid w:val="00797756"/>
    <w:rsid w:val="007A06C9"/>
    <w:rsid w:val="007A1DA4"/>
    <w:rsid w:val="007A33E7"/>
    <w:rsid w:val="007A38BA"/>
    <w:rsid w:val="007A52FC"/>
    <w:rsid w:val="007A5859"/>
    <w:rsid w:val="007A69B3"/>
    <w:rsid w:val="007B040A"/>
    <w:rsid w:val="007B0611"/>
    <w:rsid w:val="007B0AE2"/>
    <w:rsid w:val="007B29AF"/>
    <w:rsid w:val="007B3AD0"/>
    <w:rsid w:val="007B4796"/>
    <w:rsid w:val="007B4EB7"/>
    <w:rsid w:val="007B777B"/>
    <w:rsid w:val="007C0328"/>
    <w:rsid w:val="007C0D2D"/>
    <w:rsid w:val="007C2A7A"/>
    <w:rsid w:val="007C3F54"/>
    <w:rsid w:val="007C4154"/>
    <w:rsid w:val="007C4609"/>
    <w:rsid w:val="007D1295"/>
    <w:rsid w:val="007D14D2"/>
    <w:rsid w:val="007D17B1"/>
    <w:rsid w:val="007D2771"/>
    <w:rsid w:val="007D2871"/>
    <w:rsid w:val="007D3D1E"/>
    <w:rsid w:val="007D45D7"/>
    <w:rsid w:val="007D72C1"/>
    <w:rsid w:val="007D74E1"/>
    <w:rsid w:val="007E0035"/>
    <w:rsid w:val="007E0D72"/>
    <w:rsid w:val="007E3615"/>
    <w:rsid w:val="007E4685"/>
    <w:rsid w:val="007E7EE2"/>
    <w:rsid w:val="007F00D7"/>
    <w:rsid w:val="007F0786"/>
    <w:rsid w:val="007F546C"/>
    <w:rsid w:val="007F68D8"/>
    <w:rsid w:val="007F6C7E"/>
    <w:rsid w:val="00800450"/>
    <w:rsid w:val="0080099A"/>
    <w:rsid w:val="00801427"/>
    <w:rsid w:val="008018C8"/>
    <w:rsid w:val="008020AD"/>
    <w:rsid w:val="00806630"/>
    <w:rsid w:val="0081100C"/>
    <w:rsid w:val="008114B4"/>
    <w:rsid w:val="00812C1B"/>
    <w:rsid w:val="008150C6"/>
    <w:rsid w:val="00815BAF"/>
    <w:rsid w:val="00815F09"/>
    <w:rsid w:val="0081652D"/>
    <w:rsid w:val="0081691C"/>
    <w:rsid w:val="0082191A"/>
    <w:rsid w:val="00821E84"/>
    <w:rsid w:val="00823683"/>
    <w:rsid w:val="0083002B"/>
    <w:rsid w:val="00830862"/>
    <w:rsid w:val="0083263A"/>
    <w:rsid w:val="00832896"/>
    <w:rsid w:val="008341FF"/>
    <w:rsid w:val="00835812"/>
    <w:rsid w:val="008379D8"/>
    <w:rsid w:val="00840738"/>
    <w:rsid w:val="00840B51"/>
    <w:rsid w:val="00840E6A"/>
    <w:rsid w:val="008411D2"/>
    <w:rsid w:val="00843555"/>
    <w:rsid w:val="00843C38"/>
    <w:rsid w:val="00844534"/>
    <w:rsid w:val="00844C4A"/>
    <w:rsid w:val="00845478"/>
    <w:rsid w:val="008502EB"/>
    <w:rsid w:val="00852761"/>
    <w:rsid w:val="008530BF"/>
    <w:rsid w:val="00854369"/>
    <w:rsid w:val="00855294"/>
    <w:rsid w:val="0085689E"/>
    <w:rsid w:val="00857BC4"/>
    <w:rsid w:val="008617F6"/>
    <w:rsid w:val="00861CD1"/>
    <w:rsid w:val="00864301"/>
    <w:rsid w:val="00865A71"/>
    <w:rsid w:val="0087180C"/>
    <w:rsid w:val="008724AF"/>
    <w:rsid w:val="00872B3C"/>
    <w:rsid w:val="00873E8C"/>
    <w:rsid w:val="008741F2"/>
    <w:rsid w:val="00874F8C"/>
    <w:rsid w:val="00877131"/>
    <w:rsid w:val="00877C63"/>
    <w:rsid w:val="0088017E"/>
    <w:rsid w:val="008802F0"/>
    <w:rsid w:val="00882820"/>
    <w:rsid w:val="00884BDA"/>
    <w:rsid w:val="008850E1"/>
    <w:rsid w:val="00887CB8"/>
    <w:rsid w:val="00891E46"/>
    <w:rsid w:val="00891E8F"/>
    <w:rsid w:val="008927B0"/>
    <w:rsid w:val="00892CC5"/>
    <w:rsid w:val="00892DD7"/>
    <w:rsid w:val="00894AEF"/>
    <w:rsid w:val="00894BD3"/>
    <w:rsid w:val="0089565B"/>
    <w:rsid w:val="00895B07"/>
    <w:rsid w:val="00896A47"/>
    <w:rsid w:val="008971BA"/>
    <w:rsid w:val="008A0C8C"/>
    <w:rsid w:val="008A1AC4"/>
    <w:rsid w:val="008A410B"/>
    <w:rsid w:val="008A454F"/>
    <w:rsid w:val="008A4CA6"/>
    <w:rsid w:val="008A7218"/>
    <w:rsid w:val="008A7B22"/>
    <w:rsid w:val="008B0A7E"/>
    <w:rsid w:val="008B32BB"/>
    <w:rsid w:val="008B6E13"/>
    <w:rsid w:val="008B77EA"/>
    <w:rsid w:val="008C3248"/>
    <w:rsid w:val="008C41E3"/>
    <w:rsid w:val="008C4D55"/>
    <w:rsid w:val="008D3218"/>
    <w:rsid w:val="008D424D"/>
    <w:rsid w:val="008D4642"/>
    <w:rsid w:val="008D5488"/>
    <w:rsid w:val="008D6218"/>
    <w:rsid w:val="008D7A4D"/>
    <w:rsid w:val="008D7CAA"/>
    <w:rsid w:val="008E0A40"/>
    <w:rsid w:val="008E16FE"/>
    <w:rsid w:val="008E25E8"/>
    <w:rsid w:val="008E2E63"/>
    <w:rsid w:val="008E36B0"/>
    <w:rsid w:val="008E67C9"/>
    <w:rsid w:val="008E79D9"/>
    <w:rsid w:val="008E7C7A"/>
    <w:rsid w:val="008F2856"/>
    <w:rsid w:val="008F6DE6"/>
    <w:rsid w:val="008F6E35"/>
    <w:rsid w:val="00900F68"/>
    <w:rsid w:val="009034F6"/>
    <w:rsid w:val="00904BA8"/>
    <w:rsid w:val="00905AB5"/>
    <w:rsid w:val="00907825"/>
    <w:rsid w:val="00907A7F"/>
    <w:rsid w:val="00910285"/>
    <w:rsid w:val="0091029C"/>
    <w:rsid w:val="0091082E"/>
    <w:rsid w:val="00912043"/>
    <w:rsid w:val="009134A8"/>
    <w:rsid w:val="00917855"/>
    <w:rsid w:val="00917944"/>
    <w:rsid w:val="009246C4"/>
    <w:rsid w:val="00927A61"/>
    <w:rsid w:val="009306A5"/>
    <w:rsid w:val="009312D5"/>
    <w:rsid w:val="00931D76"/>
    <w:rsid w:val="0093336B"/>
    <w:rsid w:val="009333F8"/>
    <w:rsid w:val="0093679A"/>
    <w:rsid w:val="009371AE"/>
    <w:rsid w:val="00940906"/>
    <w:rsid w:val="0094205E"/>
    <w:rsid w:val="009428CC"/>
    <w:rsid w:val="0094492D"/>
    <w:rsid w:val="00944E4F"/>
    <w:rsid w:val="00947548"/>
    <w:rsid w:val="0095078E"/>
    <w:rsid w:val="009551FF"/>
    <w:rsid w:val="009606DD"/>
    <w:rsid w:val="00960737"/>
    <w:rsid w:val="00961961"/>
    <w:rsid w:val="0096258A"/>
    <w:rsid w:val="009626BC"/>
    <w:rsid w:val="00967E28"/>
    <w:rsid w:val="0097069C"/>
    <w:rsid w:val="00974179"/>
    <w:rsid w:val="00982B14"/>
    <w:rsid w:val="009839B0"/>
    <w:rsid w:val="00984B03"/>
    <w:rsid w:val="00984F27"/>
    <w:rsid w:val="0098540B"/>
    <w:rsid w:val="009854A4"/>
    <w:rsid w:val="00985FA9"/>
    <w:rsid w:val="009871D4"/>
    <w:rsid w:val="00993316"/>
    <w:rsid w:val="009939DF"/>
    <w:rsid w:val="00993DC3"/>
    <w:rsid w:val="009A130E"/>
    <w:rsid w:val="009A3781"/>
    <w:rsid w:val="009A4855"/>
    <w:rsid w:val="009A5CD0"/>
    <w:rsid w:val="009B1570"/>
    <w:rsid w:val="009B29EE"/>
    <w:rsid w:val="009B39AA"/>
    <w:rsid w:val="009B531A"/>
    <w:rsid w:val="009B5F36"/>
    <w:rsid w:val="009B6B2D"/>
    <w:rsid w:val="009B78FC"/>
    <w:rsid w:val="009B7BA9"/>
    <w:rsid w:val="009C378A"/>
    <w:rsid w:val="009C578E"/>
    <w:rsid w:val="009C76F9"/>
    <w:rsid w:val="009C7899"/>
    <w:rsid w:val="009C7981"/>
    <w:rsid w:val="009D0BA7"/>
    <w:rsid w:val="009D1451"/>
    <w:rsid w:val="009D356E"/>
    <w:rsid w:val="009D6325"/>
    <w:rsid w:val="009D7C80"/>
    <w:rsid w:val="009E002B"/>
    <w:rsid w:val="009E26DF"/>
    <w:rsid w:val="009E2B93"/>
    <w:rsid w:val="009E6442"/>
    <w:rsid w:val="009F0474"/>
    <w:rsid w:val="00A00A76"/>
    <w:rsid w:val="00A02401"/>
    <w:rsid w:val="00A03715"/>
    <w:rsid w:val="00A07B85"/>
    <w:rsid w:val="00A1090D"/>
    <w:rsid w:val="00A12439"/>
    <w:rsid w:val="00A127FB"/>
    <w:rsid w:val="00A137F2"/>
    <w:rsid w:val="00A13833"/>
    <w:rsid w:val="00A178AD"/>
    <w:rsid w:val="00A17A36"/>
    <w:rsid w:val="00A17A6B"/>
    <w:rsid w:val="00A21C8A"/>
    <w:rsid w:val="00A21ECD"/>
    <w:rsid w:val="00A24CA2"/>
    <w:rsid w:val="00A252AA"/>
    <w:rsid w:val="00A30032"/>
    <w:rsid w:val="00A36F45"/>
    <w:rsid w:val="00A401A1"/>
    <w:rsid w:val="00A40BB3"/>
    <w:rsid w:val="00A40F52"/>
    <w:rsid w:val="00A42135"/>
    <w:rsid w:val="00A423E8"/>
    <w:rsid w:val="00A42B23"/>
    <w:rsid w:val="00A43517"/>
    <w:rsid w:val="00A4354E"/>
    <w:rsid w:val="00A43604"/>
    <w:rsid w:val="00A43B35"/>
    <w:rsid w:val="00A456EA"/>
    <w:rsid w:val="00A45E6E"/>
    <w:rsid w:val="00A50B72"/>
    <w:rsid w:val="00A51CD3"/>
    <w:rsid w:val="00A524A4"/>
    <w:rsid w:val="00A57812"/>
    <w:rsid w:val="00A578A4"/>
    <w:rsid w:val="00A61D17"/>
    <w:rsid w:val="00A6331A"/>
    <w:rsid w:val="00A6352E"/>
    <w:rsid w:val="00A65582"/>
    <w:rsid w:val="00A65BBA"/>
    <w:rsid w:val="00A6748A"/>
    <w:rsid w:val="00A72D1F"/>
    <w:rsid w:val="00A76FBC"/>
    <w:rsid w:val="00A8313A"/>
    <w:rsid w:val="00A835EE"/>
    <w:rsid w:val="00A839F9"/>
    <w:rsid w:val="00A8743A"/>
    <w:rsid w:val="00A8763A"/>
    <w:rsid w:val="00A910D7"/>
    <w:rsid w:val="00A91F9C"/>
    <w:rsid w:val="00A92EC0"/>
    <w:rsid w:val="00A9471C"/>
    <w:rsid w:val="00A960DB"/>
    <w:rsid w:val="00A967C6"/>
    <w:rsid w:val="00A978EC"/>
    <w:rsid w:val="00AA0E51"/>
    <w:rsid w:val="00AA30FC"/>
    <w:rsid w:val="00AA5705"/>
    <w:rsid w:val="00AA577A"/>
    <w:rsid w:val="00AB01B2"/>
    <w:rsid w:val="00AB1DB7"/>
    <w:rsid w:val="00AB221B"/>
    <w:rsid w:val="00AB55F8"/>
    <w:rsid w:val="00AB5F06"/>
    <w:rsid w:val="00AB794B"/>
    <w:rsid w:val="00AB7CA6"/>
    <w:rsid w:val="00AC0DCF"/>
    <w:rsid w:val="00AC3334"/>
    <w:rsid w:val="00AC3A55"/>
    <w:rsid w:val="00AC3BD7"/>
    <w:rsid w:val="00AC4B1D"/>
    <w:rsid w:val="00AC5579"/>
    <w:rsid w:val="00AC5FCB"/>
    <w:rsid w:val="00AC6AC4"/>
    <w:rsid w:val="00AC72E4"/>
    <w:rsid w:val="00AC7384"/>
    <w:rsid w:val="00AD156D"/>
    <w:rsid w:val="00AD17E3"/>
    <w:rsid w:val="00AD3383"/>
    <w:rsid w:val="00AD3856"/>
    <w:rsid w:val="00AD4AD1"/>
    <w:rsid w:val="00AD4C18"/>
    <w:rsid w:val="00AD7EF4"/>
    <w:rsid w:val="00AE0349"/>
    <w:rsid w:val="00AE2639"/>
    <w:rsid w:val="00AE354C"/>
    <w:rsid w:val="00AE66D6"/>
    <w:rsid w:val="00AF3B53"/>
    <w:rsid w:val="00AF41A6"/>
    <w:rsid w:val="00AF4E7C"/>
    <w:rsid w:val="00AF6FCE"/>
    <w:rsid w:val="00AF7D77"/>
    <w:rsid w:val="00B01E1F"/>
    <w:rsid w:val="00B074CB"/>
    <w:rsid w:val="00B07D5C"/>
    <w:rsid w:val="00B10799"/>
    <w:rsid w:val="00B10991"/>
    <w:rsid w:val="00B11AF7"/>
    <w:rsid w:val="00B1279D"/>
    <w:rsid w:val="00B13493"/>
    <w:rsid w:val="00B13D23"/>
    <w:rsid w:val="00B163BB"/>
    <w:rsid w:val="00B168F6"/>
    <w:rsid w:val="00B2044E"/>
    <w:rsid w:val="00B20485"/>
    <w:rsid w:val="00B212DA"/>
    <w:rsid w:val="00B22740"/>
    <w:rsid w:val="00B24238"/>
    <w:rsid w:val="00B24D09"/>
    <w:rsid w:val="00B250C7"/>
    <w:rsid w:val="00B25C5C"/>
    <w:rsid w:val="00B26D36"/>
    <w:rsid w:val="00B3193E"/>
    <w:rsid w:val="00B31DE8"/>
    <w:rsid w:val="00B37557"/>
    <w:rsid w:val="00B42645"/>
    <w:rsid w:val="00B43522"/>
    <w:rsid w:val="00B45272"/>
    <w:rsid w:val="00B45CF1"/>
    <w:rsid w:val="00B515A6"/>
    <w:rsid w:val="00B516AC"/>
    <w:rsid w:val="00B530EC"/>
    <w:rsid w:val="00B5384C"/>
    <w:rsid w:val="00B54C6A"/>
    <w:rsid w:val="00B54D89"/>
    <w:rsid w:val="00B556BB"/>
    <w:rsid w:val="00B626B5"/>
    <w:rsid w:val="00B62A33"/>
    <w:rsid w:val="00B640E2"/>
    <w:rsid w:val="00B64B19"/>
    <w:rsid w:val="00B64C4D"/>
    <w:rsid w:val="00B652C1"/>
    <w:rsid w:val="00B654D3"/>
    <w:rsid w:val="00B72B3C"/>
    <w:rsid w:val="00B76473"/>
    <w:rsid w:val="00B80780"/>
    <w:rsid w:val="00B84B65"/>
    <w:rsid w:val="00B84CF5"/>
    <w:rsid w:val="00B87B0B"/>
    <w:rsid w:val="00B92C97"/>
    <w:rsid w:val="00B930ED"/>
    <w:rsid w:val="00B94322"/>
    <w:rsid w:val="00B95F4E"/>
    <w:rsid w:val="00B96BA3"/>
    <w:rsid w:val="00B96F92"/>
    <w:rsid w:val="00B97287"/>
    <w:rsid w:val="00BA0571"/>
    <w:rsid w:val="00BA0CF5"/>
    <w:rsid w:val="00BA5D9E"/>
    <w:rsid w:val="00BA698E"/>
    <w:rsid w:val="00BA7430"/>
    <w:rsid w:val="00BB22CF"/>
    <w:rsid w:val="00BB417D"/>
    <w:rsid w:val="00BB5D9B"/>
    <w:rsid w:val="00BB653E"/>
    <w:rsid w:val="00BB7887"/>
    <w:rsid w:val="00BC15BB"/>
    <w:rsid w:val="00BC22FA"/>
    <w:rsid w:val="00BC236B"/>
    <w:rsid w:val="00BC2974"/>
    <w:rsid w:val="00BC4B7D"/>
    <w:rsid w:val="00BC7AAA"/>
    <w:rsid w:val="00BD09A6"/>
    <w:rsid w:val="00BD0ED9"/>
    <w:rsid w:val="00BD2511"/>
    <w:rsid w:val="00BD57D4"/>
    <w:rsid w:val="00BD67DD"/>
    <w:rsid w:val="00BD7640"/>
    <w:rsid w:val="00BD7C6B"/>
    <w:rsid w:val="00BD7CDE"/>
    <w:rsid w:val="00BE20B2"/>
    <w:rsid w:val="00BE423E"/>
    <w:rsid w:val="00BE50BA"/>
    <w:rsid w:val="00BE55FA"/>
    <w:rsid w:val="00BE5BA7"/>
    <w:rsid w:val="00BF114B"/>
    <w:rsid w:val="00BF3758"/>
    <w:rsid w:val="00BF3930"/>
    <w:rsid w:val="00BF3C27"/>
    <w:rsid w:val="00BF7EB5"/>
    <w:rsid w:val="00C009E6"/>
    <w:rsid w:val="00C00FD5"/>
    <w:rsid w:val="00C02788"/>
    <w:rsid w:val="00C03F66"/>
    <w:rsid w:val="00C0422B"/>
    <w:rsid w:val="00C050F6"/>
    <w:rsid w:val="00C05C8E"/>
    <w:rsid w:val="00C06DF0"/>
    <w:rsid w:val="00C10B3F"/>
    <w:rsid w:val="00C11CC4"/>
    <w:rsid w:val="00C125AB"/>
    <w:rsid w:val="00C16061"/>
    <w:rsid w:val="00C16269"/>
    <w:rsid w:val="00C2339D"/>
    <w:rsid w:val="00C239C2"/>
    <w:rsid w:val="00C251C5"/>
    <w:rsid w:val="00C25C6C"/>
    <w:rsid w:val="00C30180"/>
    <w:rsid w:val="00C33090"/>
    <w:rsid w:val="00C33225"/>
    <w:rsid w:val="00C33376"/>
    <w:rsid w:val="00C35E16"/>
    <w:rsid w:val="00C35FA9"/>
    <w:rsid w:val="00C4246B"/>
    <w:rsid w:val="00C43085"/>
    <w:rsid w:val="00C43677"/>
    <w:rsid w:val="00C44BF8"/>
    <w:rsid w:val="00C465A2"/>
    <w:rsid w:val="00C4720F"/>
    <w:rsid w:val="00C50E0C"/>
    <w:rsid w:val="00C52E29"/>
    <w:rsid w:val="00C539F2"/>
    <w:rsid w:val="00C53DFF"/>
    <w:rsid w:val="00C547A2"/>
    <w:rsid w:val="00C54A58"/>
    <w:rsid w:val="00C5546E"/>
    <w:rsid w:val="00C55C88"/>
    <w:rsid w:val="00C56731"/>
    <w:rsid w:val="00C579E6"/>
    <w:rsid w:val="00C6006B"/>
    <w:rsid w:val="00C63488"/>
    <w:rsid w:val="00C666C5"/>
    <w:rsid w:val="00C7031C"/>
    <w:rsid w:val="00C70AA3"/>
    <w:rsid w:val="00C73B8C"/>
    <w:rsid w:val="00C74792"/>
    <w:rsid w:val="00C74FBD"/>
    <w:rsid w:val="00C75058"/>
    <w:rsid w:val="00C75E9F"/>
    <w:rsid w:val="00C7631B"/>
    <w:rsid w:val="00C77377"/>
    <w:rsid w:val="00C77C9B"/>
    <w:rsid w:val="00C80852"/>
    <w:rsid w:val="00C82A01"/>
    <w:rsid w:val="00C833F3"/>
    <w:rsid w:val="00C84A17"/>
    <w:rsid w:val="00C84ED0"/>
    <w:rsid w:val="00C85622"/>
    <w:rsid w:val="00C86F06"/>
    <w:rsid w:val="00C909B6"/>
    <w:rsid w:val="00C92D20"/>
    <w:rsid w:val="00C936F8"/>
    <w:rsid w:val="00C93CEF"/>
    <w:rsid w:val="00C95126"/>
    <w:rsid w:val="00C95392"/>
    <w:rsid w:val="00C9595A"/>
    <w:rsid w:val="00C96E5E"/>
    <w:rsid w:val="00C97A22"/>
    <w:rsid w:val="00CA09DF"/>
    <w:rsid w:val="00CA29C8"/>
    <w:rsid w:val="00CA327B"/>
    <w:rsid w:val="00CA4FA7"/>
    <w:rsid w:val="00CA6BD7"/>
    <w:rsid w:val="00CB145F"/>
    <w:rsid w:val="00CB1F0C"/>
    <w:rsid w:val="00CB25E4"/>
    <w:rsid w:val="00CB339E"/>
    <w:rsid w:val="00CB3DE3"/>
    <w:rsid w:val="00CB44DA"/>
    <w:rsid w:val="00CB4607"/>
    <w:rsid w:val="00CB4E01"/>
    <w:rsid w:val="00CB5A98"/>
    <w:rsid w:val="00CB6B26"/>
    <w:rsid w:val="00CB71C0"/>
    <w:rsid w:val="00CC3AB5"/>
    <w:rsid w:val="00CD138C"/>
    <w:rsid w:val="00CD518A"/>
    <w:rsid w:val="00CD53F4"/>
    <w:rsid w:val="00CD713E"/>
    <w:rsid w:val="00CD7D2F"/>
    <w:rsid w:val="00CE28DD"/>
    <w:rsid w:val="00CE4488"/>
    <w:rsid w:val="00CE5EDF"/>
    <w:rsid w:val="00CE647D"/>
    <w:rsid w:val="00CE669E"/>
    <w:rsid w:val="00CE78B0"/>
    <w:rsid w:val="00CF0DA6"/>
    <w:rsid w:val="00CF0ECA"/>
    <w:rsid w:val="00CF127D"/>
    <w:rsid w:val="00CF2864"/>
    <w:rsid w:val="00CF28C3"/>
    <w:rsid w:val="00CF2F06"/>
    <w:rsid w:val="00CF57CB"/>
    <w:rsid w:val="00CF7CD7"/>
    <w:rsid w:val="00CF7E03"/>
    <w:rsid w:val="00D0261C"/>
    <w:rsid w:val="00D05B03"/>
    <w:rsid w:val="00D069F4"/>
    <w:rsid w:val="00D0731A"/>
    <w:rsid w:val="00D07DD3"/>
    <w:rsid w:val="00D11BAB"/>
    <w:rsid w:val="00D132A6"/>
    <w:rsid w:val="00D13F9C"/>
    <w:rsid w:val="00D142DA"/>
    <w:rsid w:val="00D157BA"/>
    <w:rsid w:val="00D16223"/>
    <w:rsid w:val="00D227A2"/>
    <w:rsid w:val="00D23024"/>
    <w:rsid w:val="00D230FC"/>
    <w:rsid w:val="00D23AC3"/>
    <w:rsid w:val="00D23BB2"/>
    <w:rsid w:val="00D23D7B"/>
    <w:rsid w:val="00D244BE"/>
    <w:rsid w:val="00D24A90"/>
    <w:rsid w:val="00D33695"/>
    <w:rsid w:val="00D407B4"/>
    <w:rsid w:val="00D40E6A"/>
    <w:rsid w:val="00D41A60"/>
    <w:rsid w:val="00D41D34"/>
    <w:rsid w:val="00D4344E"/>
    <w:rsid w:val="00D4385E"/>
    <w:rsid w:val="00D438C2"/>
    <w:rsid w:val="00D4431A"/>
    <w:rsid w:val="00D456F2"/>
    <w:rsid w:val="00D47C4A"/>
    <w:rsid w:val="00D501EF"/>
    <w:rsid w:val="00D5232B"/>
    <w:rsid w:val="00D53948"/>
    <w:rsid w:val="00D55268"/>
    <w:rsid w:val="00D604DE"/>
    <w:rsid w:val="00D60C07"/>
    <w:rsid w:val="00D61BEC"/>
    <w:rsid w:val="00D650B5"/>
    <w:rsid w:val="00D65A26"/>
    <w:rsid w:val="00D67678"/>
    <w:rsid w:val="00D711BE"/>
    <w:rsid w:val="00D72A35"/>
    <w:rsid w:val="00D72FC5"/>
    <w:rsid w:val="00D7332A"/>
    <w:rsid w:val="00D74ADF"/>
    <w:rsid w:val="00D75BC4"/>
    <w:rsid w:val="00D76B00"/>
    <w:rsid w:val="00D76D9B"/>
    <w:rsid w:val="00D76EBF"/>
    <w:rsid w:val="00D77DDC"/>
    <w:rsid w:val="00D80045"/>
    <w:rsid w:val="00D87CB9"/>
    <w:rsid w:val="00D914D7"/>
    <w:rsid w:val="00D91FE7"/>
    <w:rsid w:val="00D94ED7"/>
    <w:rsid w:val="00D9577C"/>
    <w:rsid w:val="00D96D46"/>
    <w:rsid w:val="00DA1678"/>
    <w:rsid w:val="00DA1B2D"/>
    <w:rsid w:val="00DA1ECE"/>
    <w:rsid w:val="00DA27B9"/>
    <w:rsid w:val="00DA3763"/>
    <w:rsid w:val="00DA7286"/>
    <w:rsid w:val="00DA7616"/>
    <w:rsid w:val="00DA7680"/>
    <w:rsid w:val="00DB236D"/>
    <w:rsid w:val="00DB2726"/>
    <w:rsid w:val="00DB315F"/>
    <w:rsid w:val="00DB3333"/>
    <w:rsid w:val="00DB3837"/>
    <w:rsid w:val="00DB42CA"/>
    <w:rsid w:val="00DB46CF"/>
    <w:rsid w:val="00DC1B5B"/>
    <w:rsid w:val="00DC5337"/>
    <w:rsid w:val="00DC5744"/>
    <w:rsid w:val="00DD051F"/>
    <w:rsid w:val="00DD0AB0"/>
    <w:rsid w:val="00DE2F6C"/>
    <w:rsid w:val="00DE3463"/>
    <w:rsid w:val="00DE52B5"/>
    <w:rsid w:val="00DE5EC9"/>
    <w:rsid w:val="00DE71FE"/>
    <w:rsid w:val="00DF289D"/>
    <w:rsid w:val="00DF2D10"/>
    <w:rsid w:val="00DF4AFE"/>
    <w:rsid w:val="00DF7769"/>
    <w:rsid w:val="00E02C2B"/>
    <w:rsid w:val="00E03E1B"/>
    <w:rsid w:val="00E04A5D"/>
    <w:rsid w:val="00E04BCF"/>
    <w:rsid w:val="00E052F9"/>
    <w:rsid w:val="00E05F4C"/>
    <w:rsid w:val="00E060B4"/>
    <w:rsid w:val="00E06277"/>
    <w:rsid w:val="00E07929"/>
    <w:rsid w:val="00E120DF"/>
    <w:rsid w:val="00E12918"/>
    <w:rsid w:val="00E12B25"/>
    <w:rsid w:val="00E135FA"/>
    <w:rsid w:val="00E14214"/>
    <w:rsid w:val="00E150AE"/>
    <w:rsid w:val="00E1530E"/>
    <w:rsid w:val="00E2085B"/>
    <w:rsid w:val="00E25288"/>
    <w:rsid w:val="00E26549"/>
    <w:rsid w:val="00E270CF"/>
    <w:rsid w:val="00E31889"/>
    <w:rsid w:val="00E31CB7"/>
    <w:rsid w:val="00E33019"/>
    <w:rsid w:val="00E342DD"/>
    <w:rsid w:val="00E3457A"/>
    <w:rsid w:val="00E34FCB"/>
    <w:rsid w:val="00E35FF6"/>
    <w:rsid w:val="00E36F08"/>
    <w:rsid w:val="00E36F85"/>
    <w:rsid w:val="00E41773"/>
    <w:rsid w:val="00E41868"/>
    <w:rsid w:val="00E42253"/>
    <w:rsid w:val="00E43237"/>
    <w:rsid w:val="00E43D08"/>
    <w:rsid w:val="00E51C11"/>
    <w:rsid w:val="00E51F8A"/>
    <w:rsid w:val="00E51FFC"/>
    <w:rsid w:val="00E53029"/>
    <w:rsid w:val="00E530F6"/>
    <w:rsid w:val="00E551F4"/>
    <w:rsid w:val="00E565F9"/>
    <w:rsid w:val="00E56938"/>
    <w:rsid w:val="00E56EC6"/>
    <w:rsid w:val="00E57426"/>
    <w:rsid w:val="00E609BA"/>
    <w:rsid w:val="00E62AD6"/>
    <w:rsid w:val="00E631D6"/>
    <w:rsid w:val="00E642D1"/>
    <w:rsid w:val="00E6509B"/>
    <w:rsid w:val="00E65DEB"/>
    <w:rsid w:val="00E667AC"/>
    <w:rsid w:val="00E722A6"/>
    <w:rsid w:val="00E72FCD"/>
    <w:rsid w:val="00E73129"/>
    <w:rsid w:val="00E76394"/>
    <w:rsid w:val="00E7696B"/>
    <w:rsid w:val="00E77593"/>
    <w:rsid w:val="00E82453"/>
    <w:rsid w:val="00E82804"/>
    <w:rsid w:val="00E835CC"/>
    <w:rsid w:val="00E83EEF"/>
    <w:rsid w:val="00E865C3"/>
    <w:rsid w:val="00E94E2A"/>
    <w:rsid w:val="00E95363"/>
    <w:rsid w:val="00E956DB"/>
    <w:rsid w:val="00E97144"/>
    <w:rsid w:val="00E9791B"/>
    <w:rsid w:val="00E97CF2"/>
    <w:rsid w:val="00E97D68"/>
    <w:rsid w:val="00EA041A"/>
    <w:rsid w:val="00EA0963"/>
    <w:rsid w:val="00EA0EA5"/>
    <w:rsid w:val="00EA16C0"/>
    <w:rsid w:val="00EA2B97"/>
    <w:rsid w:val="00EA3ECF"/>
    <w:rsid w:val="00EA41BC"/>
    <w:rsid w:val="00EA46B2"/>
    <w:rsid w:val="00EA6527"/>
    <w:rsid w:val="00EB0240"/>
    <w:rsid w:val="00EB0BEB"/>
    <w:rsid w:val="00EB29E0"/>
    <w:rsid w:val="00EB48BE"/>
    <w:rsid w:val="00EC085E"/>
    <w:rsid w:val="00EC1102"/>
    <w:rsid w:val="00EC30BF"/>
    <w:rsid w:val="00EC42AC"/>
    <w:rsid w:val="00EC45DA"/>
    <w:rsid w:val="00EC6695"/>
    <w:rsid w:val="00ED2C7E"/>
    <w:rsid w:val="00ED4991"/>
    <w:rsid w:val="00ED4E25"/>
    <w:rsid w:val="00ED78E9"/>
    <w:rsid w:val="00EE492A"/>
    <w:rsid w:val="00EE5DDA"/>
    <w:rsid w:val="00EE6F28"/>
    <w:rsid w:val="00EE788B"/>
    <w:rsid w:val="00EF27F4"/>
    <w:rsid w:val="00EF60FC"/>
    <w:rsid w:val="00EF6B21"/>
    <w:rsid w:val="00EF7920"/>
    <w:rsid w:val="00F015DE"/>
    <w:rsid w:val="00F0189F"/>
    <w:rsid w:val="00F031BC"/>
    <w:rsid w:val="00F03329"/>
    <w:rsid w:val="00F06717"/>
    <w:rsid w:val="00F06FD9"/>
    <w:rsid w:val="00F101E1"/>
    <w:rsid w:val="00F10EDF"/>
    <w:rsid w:val="00F1133E"/>
    <w:rsid w:val="00F117E0"/>
    <w:rsid w:val="00F12356"/>
    <w:rsid w:val="00F128B5"/>
    <w:rsid w:val="00F12AC9"/>
    <w:rsid w:val="00F16469"/>
    <w:rsid w:val="00F17794"/>
    <w:rsid w:val="00F179FC"/>
    <w:rsid w:val="00F209AA"/>
    <w:rsid w:val="00F216A2"/>
    <w:rsid w:val="00F217FC"/>
    <w:rsid w:val="00F21AE3"/>
    <w:rsid w:val="00F22A48"/>
    <w:rsid w:val="00F244B2"/>
    <w:rsid w:val="00F24B5A"/>
    <w:rsid w:val="00F25BD0"/>
    <w:rsid w:val="00F26D7C"/>
    <w:rsid w:val="00F27FF0"/>
    <w:rsid w:val="00F30F22"/>
    <w:rsid w:val="00F31125"/>
    <w:rsid w:val="00F32267"/>
    <w:rsid w:val="00F323C8"/>
    <w:rsid w:val="00F32C19"/>
    <w:rsid w:val="00F32D59"/>
    <w:rsid w:val="00F33EDF"/>
    <w:rsid w:val="00F34F4C"/>
    <w:rsid w:val="00F36A0F"/>
    <w:rsid w:val="00F36D18"/>
    <w:rsid w:val="00F40C49"/>
    <w:rsid w:val="00F41632"/>
    <w:rsid w:val="00F420E2"/>
    <w:rsid w:val="00F44B44"/>
    <w:rsid w:val="00F44FAA"/>
    <w:rsid w:val="00F46661"/>
    <w:rsid w:val="00F471FB"/>
    <w:rsid w:val="00F476BD"/>
    <w:rsid w:val="00F5175F"/>
    <w:rsid w:val="00F51BAF"/>
    <w:rsid w:val="00F530AF"/>
    <w:rsid w:val="00F54506"/>
    <w:rsid w:val="00F55F28"/>
    <w:rsid w:val="00F57F08"/>
    <w:rsid w:val="00F57F25"/>
    <w:rsid w:val="00F60A20"/>
    <w:rsid w:val="00F60AC6"/>
    <w:rsid w:val="00F616BC"/>
    <w:rsid w:val="00F66487"/>
    <w:rsid w:val="00F668E2"/>
    <w:rsid w:val="00F73BAB"/>
    <w:rsid w:val="00F76007"/>
    <w:rsid w:val="00F76ACB"/>
    <w:rsid w:val="00F81731"/>
    <w:rsid w:val="00F82316"/>
    <w:rsid w:val="00F8637F"/>
    <w:rsid w:val="00F87B4D"/>
    <w:rsid w:val="00F92E6D"/>
    <w:rsid w:val="00F933FB"/>
    <w:rsid w:val="00F950CE"/>
    <w:rsid w:val="00F9542E"/>
    <w:rsid w:val="00F96C25"/>
    <w:rsid w:val="00FA1DF4"/>
    <w:rsid w:val="00FA363D"/>
    <w:rsid w:val="00FA6842"/>
    <w:rsid w:val="00FB0188"/>
    <w:rsid w:val="00FB2333"/>
    <w:rsid w:val="00FB5A66"/>
    <w:rsid w:val="00FB6F12"/>
    <w:rsid w:val="00FB76EA"/>
    <w:rsid w:val="00FC14FB"/>
    <w:rsid w:val="00FC2DB9"/>
    <w:rsid w:val="00FC4490"/>
    <w:rsid w:val="00FC4610"/>
    <w:rsid w:val="00FC5AB3"/>
    <w:rsid w:val="00FC6133"/>
    <w:rsid w:val="00FC6144"/>
    <w:rsid w:val="00FC6667"/>
    <w:rsid w:val="00FC76F6"/>
    <w:rsid w:val="00FC7EB4"/>
    <w:rsid w:val="00FD2C45"/>
    <w:rsid w:val="00FD3D38"/>
    <w:rsid w:val="00FD50D1"/>
    <w:rsid w:val="00FD6410"/>
    <w:rsid w:val="00FD7E16"/>
    <w:rsid w:val="00FE1CDA"/>
    <w:rsid w:val="00FE2619"/>
    <w:rsid w:val="00FE48A0"/>
    <w:rsid w:val="00FE54A9"/>
    <w:rsid w:val="00FE554B"/>
    <w:rsid w:val="00FE7AFA"/>
    <w:rsid w:val="00FF0B0F"/>
    <w:rsid w:val="00FF0CED"/>
    <w:rsid w:val="00FF1B3F"/>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9B7"/>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861CD1"/>
    <w:pPr>
      <w:numPr>
        <w:ilvl w:val="2"/>
      </w:numPr>
      <w:outlineLvl w:val="2"/>
    </w:pPr>
    <w:rPr>
      <w:rFonts w:asciiTheme="majorHAnsi" w:hAnsiTheme="majorHAnsi"/>
      <w:bCs/>
      <w:sz w:val="24"/>
      <w:szCs w:val="24"/>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9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861CD1"/>
    <w:rPr>
      <w:rFonts w:asciiTheme="majorHAnsi" w:hAnsiTheme="majorHAnsi"/>
      <w:b/>
      <w:bCs/>
      <w:color w:val="333399"/>
      <w:sz w:val="24"/>
      <w:szCs w:val="24"/>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link w:val="ListeafsnitTegn"/>
    <w:uiPriority w:val="34"/>
    <w:qFormat/>
    <w:rsid w:val="000D27E0"/>
    <w:pPr>
      <w:ind w:left="720"/>
      <w:contextualSpacing/>
    </w:pPr>
  </w:style>
  <w:style w:type="character" w:customStyle="1" w:styleId="ListeafsnitTegn">
    <w:name w:val="Listeafsnit Tegn"/>
    <w:basedOn w:val="Standardskrifttypeiafsnit"/>
    <w:link w:val="Listeafsnit"/>
    <w:uiPriority w:val="34"/>
    <w:rsid w:val="007B0611"/>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9B7"/>
    <w:pPr>
      <w:jc w:val="both"/>
    </w:pPr>
    <w:rPr>
      <w:rFonts w:ascii="Calibri" w:hAnsi="Calibri"/>
      <w:sz w:val="22"/>
      <w:szCs w:val="24"/>
    </w:rPr>
  </w:style>
  <w:style w:type="paragraph" w:styleId="Overskrift1">
    <w:name w:val="heading 1"/>
    <w:aliases w:val="Main heading"/>
    <w:basedOn w:val="Normal"/>
    <w:next w:val="Normal"/>
    <w:link w:val="Overskrift1Tegn"/>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861CD1"/>
    <w:pPr>
      <w:numPr>
        <w:ilvl w:val="2"/>
      </w:numPr>
      <w:outlineLvl w:val="2"/>
    </w:pPr>
    <w:rPr>
      <w:rFonts w:asciiTheme="majorHAnsi" w:hAnsiTheme="majorHAnsi"/>
      <w:bCs/>
      <w:sz w:val="24"/>
      <w:szCs w:val="24"/>
      <w:lang w:val="da-DK"/>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uiPriority w:val="99"/>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99"/>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861CD1"/>
    <w:rPr>
      <w:rFonts w:asciiTheme="majorHAnsi" w:hAnsiTheme="majorHAnsi"/>
      <w:b/>
      <w:bCs/>
      <w:color w:val="333399"/>
      <w:sz w:val="24"/>
      <w:szCs w:val="24"/>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uiPriority w:val="99"/>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AA5705"/>
    <w:rPr>
      <w:rFonts w:ascii="Cambria" w:hAnsi="Cambria"/>
      <w:b/>
      <w:sz w:val="44"/>
      <w:szCs w:val="32"/>
    </w:rPr>
  </w:style>
  <w:style w:type="character" w:customStyle="1" w:styleId="Overskrift2Tegn">
    <w:name w:val="Overskrift 2 Tegn"/>
    <w:aliases w:val="Heading Tegn"/>
    <w:basedOn w:val="Standardskrifttypeiafsnit"/>
    <w:link w:val="Overskrift2"/>
    <w:rsid w:val="00AA5705"/>
    <w:rPr>
      <w:rFonts w:ascii="Cambria" w:hAnsi="Cambria"/>
      <w:b/>
      <w:color w:val="333399"/>
      <w:sz w:val="28"/>
      <w:szCs w:val="32"/>
      <w:lang w:val="en-US"/>
    </w:rPr>
  </w:style>
  <w:style w:type="paragraph" w:styleId="Listeafsnit">
    <w:name w:val="List Paragraph"/>
    <w:basedOn w:val="Normal"/>
    <w:link w:val="ListeafsnitTegn"/>
    <w:uiPriority w:val="34"/>
    <w:qFormat/>
    <w:rsid w:val="000D27E0"/>
    <w:pPr>
      <w:ind w:left="720"/>
      <w:contextualSpacing/>
    </w:pPr>
  </w:style>
  <w:style w:type="character" w:customStyle="1" w:styleId="ListeafsnitTegn">
    <w:name w:val="Listeafsnit Tegn"/>
    <w:basedOn w:val="Standardskrifttypeiafsnit"/>
    <w:link w:val="Listeafsnit"/>
    <w:uiPriority w:val="34"/>
    <w:rsid w:val="007B0611"/>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778283698">
      <w:bodyDiv w:val="1"/>
      <w:marLeft w:val="0"/>
      <w:marRight w:val="0"/>
      <w:marTop w:val="0"/>
      <w:marBottom w:val="0"/>
      <w:divBdr>
        <w:top w:val="none" w:sz="0" w:space="0" w:color="auto"/>
        <w:left w:val="none" w:sz="0" w:space="0" w:color="auto"/>
        <w:bottom w:val="none" w:sz="0" w:space="0" w:color="auto"/>
        <w:right w:val="none" w:sz="0" w:space="0" w:color="auto"/>
      </w:divBdr>
    </w:div>
    <w:div w:id="1816094829">
      <w:bodyDiv w:val="1"/>
      <w:marLeft w:val="0"/>
      <w:marRight w:val="0"/>
      <w:marTop w:val="0"/>
      <w:marBottom w:val="0"/>
      <w:divBdr>
        <w:top w:val="none" w:sz="0" w:space="0" w:color="auto"/>
        <w:left w:val="none" w:sz="0" w:space="0" w:color="auto"/>
        <w:bottom w:val="none" w:sz="0" w:space="0" w:color="auto"/>
        <w:right w:val="none" w:sz="0" w:space="0" w:color="auto"/>
      </w:divBdr>
    </w:div>
    <w:div w:id="1856456049">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6A52-C3A6-4B77-A892-52409653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F9FAB255.dotm</Template>
  <TotalTime>92</TotalTime>
  <Pages>31</Pages>
  <Words>7274</Words>
  <Characters>51722</Characters>
  <Application>Microsoft Office Word</Application>
  <DocSecurity>0</DocSecurity>
  <Lines>431</Lines>
  <Paragraphs>117</Paragraphs>
  <ScaleCrop>false</ScaleCrop>
  <HeadingPairs>
    <vt:vector size="2" baseType="variant">
      <vt:variant>
        <vt:lpstr>Titel</vt:lpstr>
      </vt:variant>
      <vt:variant>
        <vt:i4>1</vt:i4>
      </vt:variant>
    </vt:vector>
  </HeadingPairs>
  <TitlesOfParts>
    <vt:vector size="1" baseType="lpstr">
      <vt:lpstr>Implementeringsplan for GD1 - Ejendomsdataprogrammet</vt:lpstr>
    </vt:vector>
  </TitlesOfParts>
  <Company>MBBL</Company>
  <LinksUpToDate>false</LinksUpToDate>
  <CharactersWithSpaces>58879</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Implementeringsplan for GD1 - Ejendomsdataprogrammet</dc:title>
  <dc:subject>Grunddataprogrammet under den Fællesoffentlig digitaliseringsstrategi 2012 - 2015</dc:subject>
  <dc:creator>klaus.hansen@s-d.dk</dc:creator>
  <cp:lastModifiedBy>Asbjørn Lenbroch</cp:lastModifiedBy>
  <cp:revision>7</cp:revision>
  <cp:lastPrinted>2014-10-15T16:38:00Z</cp:lastPrinted>
  <dcterms:created xsi:type="dcterms:W3CDTF">2014-10-17T08:47:00Z</dcterms:created>
  <dcterms:modified xsi:type="dcterms:W3CDTF">2014-10-17T10:33:00Z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