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22092B62" wp14:editId="54D21BA0">
            <wp:simplePos x="0" y="0"/>
            <wp:positionH relativeFrom="column">
              <wp:posOffset>5097268</wp:posOffset>
            </wp:positionH>
            <wp:positionV relativeFrom="paragraph">
              <wp:posOffset>-607003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B7ABED7" wp14:editId="4EF7FF4B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9BB23" wp14:editId="5F5CEDDA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DB09F" wp14:editId="0D0D70DF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:rsidR="004D1D36" w:rsidRDefault="004D1D36" w:rsidP="001F5F85">
      <w:pPr>
        <w:spacing w:after="0" w:line="240" w:lineRule="auto"/>
      </w:pPr>
    </w:p>
    <w:p w:rsidR="004D1D36" w:rsidRDefault="004D1D36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4D1D36" w:rsidRDefault="004509BB" w:rsidP="004D1D36">
      <w:pPr>
        <w:spacing w:after="0" w:line="240" w:lineRule="auto"/>
        <w:jc w:val="right"/>
      </w:pPr>
      <w:r>
        <w:t>5</w:t>
      </w:r>
      <w:r w:rsidR="008008FC">
        <w:t xml:space="preserve">. </w:t>
      </w:r>
      <w:r w:rsidR="00267916">
        <w:t>september</w:t>
      </w:r>
      <w:r w:rsidR="004D1D36" w:rsidRPr="00A5663C">
        <w:t xml:space="preserve"> 201</w:t>
      </w:r>
      <w:r w:rsidR="00C150FF" w:rsidRPr="00A5663C">
        <w:t>4</w:t>
      </w:r>
    </w:p>
    <w:p w:rsidR="00842B91" w:rsidRDefault="00842B91" w:rsidP="001E3E93">
      <w:pPr>
        <w:spacing w:after="0" w:line="240" w:lineRule="auto"/>
        <w:jc w:val="center"/>
      </w:pPr>
    </w:p>
    <w:p w:rsidR="001F5F85" w:rsidRDefault="0066600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"Replanlægning - Møde med &lt;projektnavn&gt;"  \* MERGEFORMAT </w:instrText>
      </w:r>
      <w:r>
        <w:rPr>
          <w:sz w:val="40"/>
          <w:szCs w:val="40"/>
        </w:rPr>
        <w:fldChar w:fldCharType="separate"/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- Møde med </w:t>
      </w:r>
      <w:r>
        <w:rPr>
          <w:sz w:val="40"/>
          <w:szCs w:val="40"/>
        </w:rPr>
        <w:fldChar w:fldCharType="end"/>
      </w:r>
      <w:r w:rsidR="00267916">
        <w:rPr>
          <w:sz w:val="40"/>
          <w:szCs w:val="40"/>
        </w:rPr>
        <w:t>datavask af ejendomsoply</w:t>
      </w:r>
      <w:r w:rsidR="00267916">
        <w:rPr>
          <w:sz w:val="40"/>
          <w:szCs w:val="40"/>
        </w:rPr>
        <w:t>s</w:t>
      </w:r>
      <w:r w:rsidR="00267916">
        <w:rPr>
          <w:sz w:val="40"/>
          <w:szCs w:val="40"/>
        </w:rPr>
        <w:t>ninger</w:t>
      </w:r>
    </w:p>
    <w:p w:rsidR="00666007" w:rsidRDefault="00666007" w:rsidP="0054097D">
      <w:pPr>
        <w:pStyle w:val="Overskrift2"/>
      </w:pPr>
      <w:r>
        <w:t>Stamdata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09"/>
      </w:tblGrid>
      <w:tr w:rsidR="00EF3BF4" w:rsidRPr="00666007" w:rsidTr="0054097D">
        <w:tc>
          <w:tcPr>
            <w:tcW w:w="1384" w:type="dxa"/>
          </w:tcPr>
          <w:p w:rsidR="00EF3BF4" w:rsidRPr="00666007" w:rsidRDefault="00EF3BF4" w:rsidP="00EF3BF4">
            <w:pPr>
              <w:spacing w:after="120"/>
            </w:pPr>
            <w:r>
              <w:t>Formål:</w:t>
            </w:r>
          </w:p>
        </w:tc>
        <w:tc>
          <w:tcPr>
            <w:tcW w:w="8394" w:type="dxa"/>
            <w:gridSpan w:val="2"/>
          </w:tcPr>
          <w:p w:rsidR="00EF3BF4" w:rsidRPr="00666007" w:rsidRDefault="0054097D" w:rsidP="00666007">
            <w:pPr>
              <w:spacing w:after="120"/>
            </w:pPr>
            <w:r>
              <w:t>Afstemning af de projekt- og tidsmæssige afhængigheder mellem projektet og delprogram GD1/GD2 – herunder hovedmilepæle og arbejdspakker.</w:t>
            </w:r>
            <w:r>
              <w:br/>
              <w:t xml:space="preserve">Indsamling af eventuelle problemstillinger, som skal/bør medtages i </w:t>
            </w:r>
            <w:proofErr w:type="spellStart"/>
            <w:r>
              <w:t>replanlægningen</w:t>
            </w:r>
            <w:proofErr w:type="spellEnd"/>
            <w:r>
              <w:t>.</w:t>
            </w:r>
          </w:p>
        </w:tc>
      </w:tr>
      <w:tr w:rsidR="00EF3BF4" w:rsidRPr="00666007" w:rsidTr="0054097D">
        <w:tc>
          <w:tcPr>
            <w:tcW w:w="1384" w:type="dxa"/>
          </w:tcPr>
          <w:p w:rsidR="00EF3BF4" w:rsidRDefault="00EF3BF4" w:rsidP="00666007">
            <w:pPr>
              <w:spacing w:after="120"/>
            </w:pPr>
            <w:r>
              <w:t>Agenda:</w:t>
            </w:r>
          </w:p>
        </w:tc>
        <w:tc>
          <w:tcPr>
            <w:tcW w:w="8394" w:type="dxa"/>
            <w:gridSpan w:val="2"/>
          </w:tcPr>
          <w:p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overordnede status</w:t>
            </w:r>
          </w:p>
          <w:p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hovedmilepæle og relationer til GD1/GD2</w:t>
            </w:r>
          </w:p>
          <w:p w:rsidR="00EF3BF4" w:rsidRDefault="00EF3BF4" w:rsidP="00154EE7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Projektets arbejdspakker</w:t>
            </w:r>
          </w:p>
          <w:p w:rsidR="00EF3BF4" w:rsidRPr="00666007" w:rsidRDefault="00EF3BF4" w:rsidP="00EF3BF4">
            <w:pPr>
              <w:pStyle w:val="Listeafsnit"/>
              <w:numPr>
                <w:ilvl w:val="0"/>
                <w:numId w:val="26"/>
              </w:numPr>
              <w:spacing w:after="120"/>
            </w:pPr>
            <w:r>
              <w:t>Øvrige problemstillinger</w:t>
            </w:r>
          </w:p>
        </w:tc>
      </w:tr>
      <w:tr w:rsidR="00EF3BF4" w:rsidRPr="00666007" w:rsidTr="0054097D">
        <w:tc>
          <w:tcPr>
            <w:tcW w:w="1384" w:type="dxa"/>
          </w:tcPr>
          <w:p w:rsidR="00EF3BF4" w:rsidRPr="00666007" w:rsidRDefault="00EF3BF4" w:rsidP="00666007">
            <w:pPr>
              <w:spacing w:after="120"/>
            </w:pPr>
            <w:r>
              <w:t>Tid og sted:</w:t>
            </w:r>
          </w:p>
        </w:tc>
        <w:tc>
          <w:tcPr>
            <w:tcW w:w="8394" w:type="dxa"/>
            <w:gridSpan w:val="2"/>
          </w:tcPr>
          <w:p w:rsidR="00EF3BF4" w:rsidRPr="00666007" w:rsidRDefault="00EF3BF4" w:rsidP="00EF3BF4">
            <w:pPr>
              <w:spacing w:after="120"/>
            </w:pPr>
            <w:r>
              <w:t xml:space="preserve">MBBL </w:t>
            </w:r>
            <w:r w:rsidR="00534A0F">
              <w:t>2.september fra 9:00 til 12:00</w:t>
            </w:r>
          </w:p>
        </w:tc>
      </w:tr>
      <w:tr w:rsidR="00EF3BF4" w:rsidRPr="00666007" w:rsidTr="0054097D">
        <w:tc>
          <w:tcPr>
            <w:tcW w:w="1384" w:type="dxa"/>
          </w:tcPr>
          <w:p w:rsidR="00EF3BF4" w:rsidRPr="00666007" w:rsidRDefault="00EF3BF4" w:rsidP="00666007">
            <w:pPr>
              <w:spacing w:after="60"/>
            </w:pPr>
            <w:r>
              <w:t>Deltagere:</w:t>
            </w:r>
          </w:p>
        </w:tc>
        <w:tc>
          <w:tcPr>
            <w:tcW w:w="1985" w:type="dxa"/>
          </w:tcPr>
          <w:p w:rsidR="00EF3BF4" w:rsidRPr="00666007" w:rsidRDefault="00EF3BF4" w:rsidP="00666007">
            <w:pPr>
              <w:spacing w:after="60"/>
            </w:pPr>
            <w:r>
              <w:t>Projektet:</w:t>
            </w:r>
          </w:p>
        </w:tc>
        <w:tc>
          <w:tcPr>
            <w:tcW w:w="6409" w:type="dxa"/>
          </w:tcPr>
          <w:p w:rsidR="00EF3BF4" w:rsidRPr="00666007" w:rsidRDefault="000E34F3" w:rsidP="00666007">
            <w:pPr>
              <w:spacing w:after="60"/>
            </w:pPr>
            <w:r>
              <w:t>Peder Sindorf, Peter Knudsen, Peter Snedker</w:t>
            </w:r>
          </w:p>
        </w:tc>
      </w:tr>
      <w:tr w:rsidR="00EF3BF4" w:rsidRPr="00666007" w:rsidTr="0054097D">
        <w:tc>
          <w:tcPr>
            <w:tcW w:w="1384" w:type="dxa"/>
          </w:tcPr>
          <w:p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:rsidR="00EF3BF4" w:rsidRPr="00666007" w:rsidRDefault="00EF3BF4" w:rsidP="00666007">
            <w:pPr>
              <w:spacing w:after="60"/>
            </w:pPr>
            <w:r>
              <w:t>Delprogrammet:</w:t>
            </w:r>
          </w:p>
        </w:tc>
        <w:tc>
          <w:tcPr>
            <w:tcW w:w="6409" w:type="dxa"/>
          </w:tcPr>
          <w:p w:rsidR="00EF3BF4" w:rsidRPr="00666007" w:rsidRDefault="000E34F3" w:rsidP="00666007">
            <w:pPr>
              <w:spacing w:after="60"/>
            </w:pPr>
            <w:r>
              <w:t>Peter Lindbo Larsen, Michael Michaelsen, Asbjørn Lenbroch</w:t>
            </w:r>
          </w:p>
        </w:tc>
      </w:tr>
      <w:tr w:rsidR="00EF3BF4" w:rsidRPr="00666007" w:rsidTr="0054097D">
        <w:tc>
          <w:tcPr>
            <w:tcW w:w="1384" w:type="dxa"/>
          </w:tcPr>
          <w:p w:rsidR="00EF3BF4" w:rsidRDefault="00EF3BF4" w:rsidP="00666007">
            <w:pPr>
              <w:spacing w:after="60"/>
            </w:pPr>
          </w:p>
        </w:tc>
        <w:tc>
          <w:tcPr>
            <w:tcW w:w="1985" w:type="dxa"/>
          </w:tcPr>
          <w:p w:rsidR="00EF3BF4" w:rsidRPr="00666007" w:rsidRDefault="00EF3BF4" w:rsidP="00666007">
            <w:pPr>
              <w:spacing w:after="60"/>
            </w:pPr>
            <w:r>
              <w:t>Strand &amp; Donslund:</w:t>
            </w:r>
          </w:p>
        </w:tc>
        <w:tc>
          <w:tcPr>
            <w:tcW w:w="6409" w:type="dxa"/>
          </w:tcPr>
          <w:p w:rsidR="00EF3BF4" w:rsidRPr="00666007" w:rsidRDefault="00EF3BF4" w:rsidP="00666007">
            <w:pPr>
              <w:spacing w:after="60"/>
            </w:pPr>
            <w:r>
              <w:t>Helle Torp Eklund</w:t>
            </w:r>
            <w:r>
              <w:br/>
              <w:t>Klaus Hansen</w:t>
            </w:r>
          </w:p>
        </w:tc>
      </w:tr>
    </w:tbl>
    <w:p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overordnede status</w:t>
      </w:r>
    </w:p>
    <w:p w:rsidR="00D452B7" w:rsidRDefault="00316926" w:rsidP="00EF3BF4">
      <w:pPr>
        <w:rPr>
          <w:lang w:eastAsia="da-DK"/>
        </w:rPr>
      </w:pPr>
      <w:r w:rsidRPr="00316926">
        <w:rPr>
          <w:b/>
          <w:lang w:eastAsia="da-DK"/>
        </w:rPr>
        <w:t>Pilotprojektet</w:t>
      </w:r>
      <w:r>
        <w:rPr>
          <w:lang w:eastAsia="da-DK"/>
        </w:rPr>
        <w:br/>
      </w:r>
      <w:r w:rsidR="00F92401">
        <w:rPr>
          <w:lang w:eastAsia="da-DK"/>
        </w:rPr>
        <w:t xml:space="preserve">Datavask pilotprojekt er defineret som afsluttet, projektet bestod af stikprøver på </w:t>
      </w:r>
      <w:r w:rsidR="004A3666">
        <w:rPr>
          <w:lang w:eastAsia="da-DK"/>
        </w:rPr>
        <w:t xml:space="preserve">specifikke </w:t>
      </w:r>
      <w:r w:rsidR="00F92401">
        <w:rPr>
          <w:lang w:eastAsia="da-DK"/>
        </w:rPr>
        <w:t>kommuner.</w:t>
      </w:r>
    </w:p>
    <w:p w:rsidR="00EE6D20" w:rsidRDefault="00D452B7" w:rsidP="00EF3BF4">
      <w:pPr>
        <w:rPr>
          <w:lang w:eastAsia="da-DK"/>
        </w:rPr>
      </w:pPr>
      <w:r>
        <w:rPr>
          <w:lang w:eastAsia="da-DK"/>
        </w:rPr>
        <w:t>Resultater fra pilotprojektet omfatter:</w:t>
      </w:r>
      <w:r w:rsidR="004A3666">
        <w:rPr>
          <w:lang w:eastAsia="da-DK"/>
        </w:rPr>
        <w:br/>
      </w:r>
      <w:r>
        <w:rPr>
          <w:lang w:eastAsia="da-DK"/>
        </w:rPr>
        <w:t xml:space="preserve">- Fund af </w:t>
      </w:r>
      <w:r w:rsidR="004A3666">
        <w:rPr>
          <w:lang w:eastAsia="da-DK"/>
        </w:rPr>
        <w:t xml:space="preserve">fejl i ESR vedr. ejendomsnummer og </w:t>
      </w:r>
      <w:r w:rsidR="00855F74">
        <w:rPr>
          <w:lang w:eastAsia="da-DK"/>
        </w:rPr>
        <w:t>SFE nummer</w:t>
      </w:r>
      <w:r w:rsidR="004A3666">
        <w:rPr>
          <w:lang w:eastAsia="da-DK"/>
        </w:rPr>
        <w:t xml:space="preserve"> der</w:t>
      </w:r>
      <w:r>
        <w:rPr>
          <w:lang w:eastAsia="da-DK"/>
        </w:rPr>
        <w:t xml:space="preserve"> afviger fra ESR, vurderes at være en mindre opgave at rette. </w:t>
      </w:r>
      <w:r>
        <w:rPr>
          <w:lang w:eastAsia="da-DK"/>
        </w:rPr>
        <w:br/>
      </w:r>
      <w:r w:rsidR="00927891">
        <w:rPr>
          <w:lang w:eastAsia="da-DK"/>
        </w:rPr>
        <w:br/>
      </w:r>
      <w:r w:rsidR="00633579">
        <w:rPr>
          <w:lang w:eastAsia="da-DK"/>
        </w:rPr>
        <w:t xml:space="preserve">Det vil være en </w:t>
      </w:r>
      <w:r w:rsidR="005C286C">
        <w:rPr>
          <w:lang w:eastAsia="da-DK"/>
        </w:rPr>
        <w:t>”</w:t>
      </w:r>
      <w:r w:rsidR="00855F74">
        <w:rPr>
          <w:lang w:eastAsia="da-DK"/>
        </w:rPr>
        <w:t>stor</w:t>
      </w:r>
      <w:r w:rsidR="005C286C">
        <w:rPr>
          <w:lang w:eastAsia="da-DK"/>
        </w:rPr>
        <w:t>”</w:t>
      </w:r>
      <w:r w:rsidR="00855F74">
        <w:rPr>
          <w:lang w:eastAsia="da-DK"/>
        </w:rPr>
        <w:t xml:space="preserve"> opgave </w:t>
      </w:r>
      <w:r w:rsidR="005C286C">
        <w:rPr>
          <w:lang w:eastAsia="da-DK"/>
        </w:rPr>
        <w:t>at</w:t>
      </w:r>
      <w:r w:rsidR="00633579">
        <w:rPr>
          <w:lang w:eastAsia="da-DK"/>
        </w:rPr>
        <w:t xml:space="preserve"> bringe overensstemmelse med </w:t>
      </w:r>
      <w:proofErr w:type="spellStart"/>
      <w:r w:rsidR="00633579">
        <w:rPr>
          <w:lang w:eastAsia="da-DK"/>
        </w:rPr>
        <w:t>ESR’s</w:t>
      </w:r>
      <w:proofErr w:type="spellEnd"/>
      <w:r w:rsidR="00633579">
        <w:rPr>
          <w:lang w:eastAsia="da-DK"/>
        </w:rPr>
        <w:t xml:space="preserve"> og Tingbogens registreringer af BPFG.</w:t>
      </w:r>
      <w:r w:rsidR="00245E14">
        <w:rPr>
          <w:lang w:eastAsia="da-DK"/>
        </w:rPr>
        <w:t xml:space="preserve"> Det ligger uden for </w:t>
      </w:r>
      <w:proofErr w:type="spellStart"/>
      <w:r w:rsidR="00245E14">
        <w:rPr>
          <w:lang w:eastAsia="da-DK"/>
        </w:rPr>
        <w:t>scope</w:t>
      </w:r>
      <w:proofErr w:type="spellEnd"/>
      <w:r w:rsidR="00245E14">
        <w:rPr>
          <w:lang w:eastAsia="da-DK"/>
        </w:rPr>
        <w:t xml:space="preserve"> </w:t>
      </w:r>
      <w:r w:rsidR="004E75CF">
        <w:rPr>
          <w:lang w:eastAsia="da-DK"/>
        </w:rPr>
        <w:t xml:space="preserve">at søge en </w:t>
      </w:r>
      <w:proofErr w:type="gramStart"/>
      <w:r w:rsidR="004E75CF">
        <w:rPr>
          <w:lang w:eastAsia="da-DK"/>
        </w:rPr>
        <w:t>fuldstændigt</w:t>
      </w:r>
      <w:proofErr w:type="gramEnd"/>
      <w:r w:rsidR="004E75CF">
        <w:rPr>
          <w:lang w:eastAsia="da-DK"/>
        </w:rPr>
        <w:t xml:space="preserve"> match mellem ESR og Tingbog for denne eje</w:t>
      </w:r>
      <w:r w:rsidR="004E75CF">
        <w:rPr>
          <w:lang w:eastAsia="da-DK"/>
        </w:rPr>
        <w:t>n</w:t>
      </w:r>
      <w:r w:rsidR="004E75CF">
        <w:rPr>
          <w:lang w:eastAsia="da-DK"/>
        </w:rPr>
        <w:t xml:space="preserve">domstype. </w:t>
      </w:r>
      <w:r w:rsidR="00245E14">
        <w:rPr>
          <w:lang w:eastAsia="da-DK"/>
        </w:rPr>
        <w:t>Tinglysningsretten har rejs</w:t>
      </w:r>
      <w:bookmarkStart w:id="0" w:name="_GoBack"/>
      <w:bookmarkEnd w:id="0"/>
      <w:r w:rsidR="00245E14">
        <w:rPr>
          <w:lang w:eastAsia="da-DK"/>
        </w:rPr>
        <w:t xml:space="preserve">t tvivl om det </w:t>
      </w:r>
      <w:r w:rsidR="004E75CF">
        <w:rPr>
          <w:lang w:eastAsia="da-DK"/>
        </w:rPr>
        <w:t xml:space="preserve">vil være </w:t>
      </w:r>
      <w:r w:rsidR="00245E14">
        <w:rPr>
          <w:lang w:eastAsia="da-DK"/>
        </w:rPr>
        <w:t>muligt at sammenstille de to reg</w:t>
      </w:r>
      <w:r w:rsidR="00245E14">
        <w:rPr>
          <w:lang w:eastAsia="da-DK"/>
        </w:rPr>
        <w:t>i</w:t>
      </w:r>
      <w:r w:rsidR="00245E14">
        <w:rPr>
          <w:lang w:eastAsia="da-DK"/>
        </w:rPr>
        <w:t xml:space="preserve">stre </w:t>
      </w:r>
      <w:proofErr w:type="spellStart"/>
      <w:r w:rsidR="00245E14">
        <w:rPr>
          <w:lang w:eastAsia="da-DK"/>
        </w:rPr>
        <w:t>fsva</w:t>
      </w:r>
      <w:proofErr w:type="spellEnd"/>
      <w:r w:rsidR="00245E14">
        <w:rPr>
          <w:lang w:eastAsia="da-DK"/>
        </w:rPr>
        <w:t xml:space="preserve">. BPFG uden at </w:t>
      </w:r>
      <w:proofErr w:type="gramStart"/>
      <w:r w:rsidR="004E75CF">
        <w:rPr>
          <w:lang w:eastAsia="da-DK"/>
        </w:rPr>
        <w:t>undersøge</w:t>
      </w:r>
      <w:proofErr w:type="gramEnd"/>
      <w:r w:rsidR="00245E14">
        <w:rPr>
          <w:lang w:eastAsia="da-DK"/>
        </w:rPr>
        <w:t xml:space="preserve"> forholdene i felten og/eller involvere ejerne. </w:t>
      </w:r>
      <w:r w:rsidR="005C286C">
        <w:rPr>
          <w:lang w:eastAsia="da-DK"/>
        </w:rPr>
        <w:t xml:space="preserve"> </w:t>
      </w:r>
      <w:r w:rsidR="004E75CF">
        <w:rPr>
          <w:lang w:eastAsia="da-DK"/>
        </w:rPr>
        <w:t xml:space="preserve">Jf. datavaskstrategien </w:t>
      </w:r>
      <w:r w:rsidR="00465C9A">
        <w:rPr>
          <w:lang w:eastAsia="da-DK"/>
        </w:rPr>
        <w:t xml:space="preserve">vil det være </w:t>
      </w:r>
      <w:r w:rsidR="004E75CF">
        <w:rPr>
          <w:lang w:eastAsia="da-DK"/>
        </w:rPr>
        <w:t>ti</w:t>
      </w:r>
      <w:r w:rsidR="004E75CF">
        <w:rPr>
          <w:lang w:eastAsia="da-DK"/>
        </w:rPr>
        <w:t>l</w:t>
      </w:r>
      <w:r w:rsidR="004E75CF">
        <w:rPr>
          <w:lang w:eastAsia="da-DK"/>
        </w:rPr>
        <w:t>strækkeligt</w:t>
      </w:r>
      <w:r w:rsidR="00465C9A">
        <w:rPr>
          <w:lang w:eastAsia="da-DK"/>
        </w:rPr>
        <w:t>,</w:t>
      </w:r>
      <w:r w:rsidR="004E75CF">
        <w:rPr>
          <w:lang w:eastAsia="da-DK"/>
        </w:rPr>
        <w:t xml:space="preserve"> at </w:t>
      </w:r>
      <w:r w:rsidR="00465C9A">
        <w:rPr>
          <w:lang w:eastAsia="da-DK"/>
        </w:rPr>
        <w:t>tildele BFE-</w:t>
      </w:r>
      <w:proofErr w:type="spellStart"/>
      <w:r w:rsidR="00465C9A">
        <w:rPr>
          <w:lang w:eastAsia="da-DK"/>
        </w:rPr>
        <w:t>nr</w:t>
      </w:r>
      <w:proofErr w:type="spellEnd"/>
      <w:r w:rsidR="00465C9A">
        <w:rPr>
          <w:lang w:eastAsia="da-DK"/>
        </w:rPr>
        <w:t xml:space="preserve"> til </w:t>
      </w:r>
      <w:r w:rsidR="004E75CF">
        <w:rPr>
          <w:lang w:eastAsia="da-DK"/>
        </w:rPr>
        <w:t xml:space="preserve">alle </w:t>
      </w:r>
      <w:proofErr w:type="spellStart"/>
      <w:r w:rsidR="004E75CF">
        <w:rPr>
          <w:lang w:eastAsia="da-DK"/>
        </w:rPr>
        <w:t>ESR’s</w:t>
      </w:r>
      <w:proofErr w:type="spellEnd"/>
      <w:r w:rsidR="004E75CF">
        <w:rPr>
          <w:lang w:eastAsia="da-DK"/>
        </w:rPr>
        <w:t xml:space="preserve"> BPFG inden de overføres til Matriklen.</w:t>
      </w:r>
      <w:r w:rsidR="004C05F3">
        <w:rPr>
          <w:lang w:eastAsia="da-DK"/>
        </w:rPr>
        <w:t xml:space="preserve"> </w:t>
      </w:r>
    </w:p>
    <w:p w:rsidR="000539D1" w:rsidRPr="00601FF8" w:rsidRDefault="00316926" w:rsidP="00EF3BF4">
      <w:pPr>
        <w:rPr>
          <w:lang w:eastAsia="da-DK"/>
        </w:rPr>
      </w:pPr>
      <w:r>
        <w:rPr>
          <w:lang w:eastAsia="da-DK"/>
        </w:rPr>
        <w:t xml:space="preserve">Der er </w:t>
      </w:r>
      <w:r w:rsidR="00EE6D20">
        <w:rPr>
          <w:lang w:eastAsia="da-DK"/>
        </w:rPr>
        <w:t xml:space="preserve">konstateret fejl i </w:t>
      </w:r>
      <w:proofErr w:type="spellStart"/>
      <w:r w:rsidR="00EE6D20">
        <w:rPr>
          <w:lang w:eastAsia="da-DK"/>
        </w:rPr>
        <w:t>ESR</w:t>
      </w:r>
      <w:r w:rsidR="00483CA4">
        <w:rPr>
          <w:lang w:eastAsia="da-DK"/>
        </w:rPr>
        <w:t>s</w:t>
      </w:r>
      <w:proofErr w:type="spellEnd"/>
      <w:r w:rsidR="00EE6D20">
        <w:rPr>
          <w:lang w:eastAsia="da-DK"/>
        </w:rPr>
        <w:t xml:space="preserve"> registrering af SFE-numre. I</w:t>
      </w:r>
      <w:r>
        <w:rPr>
          <w:lang w:eastAsia="da-DK"/>
        </w:rPr>
        <w:t xml:space="preserve"> den forbindelse </w:t>
      </w:r>
      <w:r w:rsidR="00EE6D20">
        <w:rPr>
          <w:lang w:eastAsia="da-DK"/>
        </w:rPr>
        <w:t xml:space="preserve">er der </w:t>
      </w:r>
      <w:r>
        <w:rPr>
          <w:lang w:eastAsia="da-DK"/>
        </w:rPr>
        <w:t>behov for</w:t>
      </w:r>
      <w:r w:rsidR="00EE6D20">
        <w:rPr>
          <w:lang w:eastAsia="da-DK"/>
        </w:rPr>
        <w:t>,</w:t>
      </w:r>
      <w:r>
        <w:rPr>
          <w:lang w:eastAsia="da-DK"/>
        </w:rPr>
        <w:t xml:space="preserve"> at kommunerne kan rette i SFE nummeret</w:t>
      </w:r>
      <w:r w:rsidR="00EE6D20">
        <w:rPr>
          <w:lang w:eastAsia="da-DK"/>
        </w:rPr>
        <w:t>. D</w:t>
      </w:r>
      <w:r>
        <w:rPr>
          <w:lang w:eastAsia="da-DK"/>
        </w:rPr>
        <w:t xml:space="preserve">ette er ikke muligt </w:t>
      </w:r>
      <w:r w:rsidR="00EE6D20">
        <w:rPr>
          <w:lang w:eastAsia="da-DK"/>
        </w:rPr>
        <w:t>via</w:t>
      </w:r>
      <w:r>
        <w:rPr>
          <w:lang w:eastAsia="da-DK"/>
        </w:rPr>
        <w:t xml:space="preserve"> ESR interfacet (</w:t>
      </w:r>
      <w:proofErr w:type="spellStart"/>
      <w:r w:rsidR="00EE6D20">
        <w:rPr>
          <w:lang w:eastAsia="da-DK"/>
        </w:rPr>
        <w:t>S</w:t>
      </w:r>
      <w:r>
        <w:rPr>
          <w:lang w:eastAsia="da-DK"/>
        </w:rPr>
        <w:t>truktura</w:t>
      </w:r>
      <w:proofErr w:type="spellEnd"/>
      <w:r>
        <w:rPr>
          <w:lang w:eastAsia="da-DK"/>
        </w:rPr>
        <w:t>) i dag</w:t>
      </w:r>
      <w:r w:rsidR="00EE6D20">
        <w:rPr>
          <w:lang w:eastAsia="da-DK"/>
        </w:rPr>
        <w:t>, hvorfor KMD skal invo</w:t>
      </w:r>
      <w:r w:rsidR="00EE6D20">
        <w:rPr>
          <w:lang w:eastAsia="da-DK"/>
        </w:rPr>
        <w:t>l</w:t>
      </w:r>
      <w:r w:rsidR="00EE6D20">
        <w:rPr>
          <w:lang w:eastAsia="da-DK"/>
        </w:rPr>
        <w:t>veres i denne opgave</w:t>
      </w:r>
      <w:r>
        <w:rPr>
          <w:lang w:eastAsia="da-DK"/>
        </w:rPr>
        <w:t>.</w:t>
      </w:r>
    </w:p>
    <w:p w:rsidR="00601FF8" w:rsidRPr="00601FF8" w:rsidRDefault="000539D1" w:rsidP="00601FF8">
      <w:pPr>
        <w:rPr>
          <w:b/>
          <w:lang w:eastAsia="da-DK"/>
        </w:rPr>
      </w:pPr>
      <w:r w:rsidRPr="000539D1">
        <w:rPr>
          <w:b/>
          <w:lang w:eastAsia="da-DK"/>
        </w:rPr>
        <w:t>Datavasken</w:t>
      </w:r>
      <w:r w:rsidR="00601FF8">
        <w:rPr>
          <w:b/>
          <w:lang w:eastAsia="da-DK"/>
        </w:rPr>
        <w:br/>
      </w:r>
      <w:r w:rsidR="00601FF8">
        <w:rPr>
          <w:lang w:eastAsia="da-DK"/>
        </w:rPr>
        <w:t>Forudsætninger i datavasken:</w:t>
      </w:r>
    </w:p>
    <w:p w:rsidR="00601FF8" w:rsidRDefault="00465C9A" w:rsidP="00601FF8">
      <w:pPr>
        <w:pStyle w:val="Listeafsnit"/>
        <w:numPr>
          <w:ilvl w:val="0"/>
          <w:numId w:val="28"/>
        </w:numPr>
        <w:rPr>
          <w:lang w:eastAsia="da-DK"/>
        </w:rPr>
      </w:pPr>
      <w:r>
        <w:rPr>
          <w:lang w:eastAsia="da-DK"/>
        </w:rPr>
        <w:t xml:space="preserve">Der tildeles </w:t>
      </w:r>
      <w:r w:rsidR="00601FF8">
        <w:rPr>
          <w:lang w:eastAsia="da-DK"/>
        </w:rPr>
        <w:t xml:space="preserve">BFE nummer </w:t>
      </w:r>
      <w:r>
        <w:rPr>
          <w:lang w:eastAsia="da-DK"/>
        </w:rPr>
        <w:t>til samtlige ejendomme som skal videreføres i Matri</w:t>
      </w:r>
      <w:r>
        <w:rPr>
          <w:lang w:eastAsia="da-DK"/>
        </w:rPr>
        <w:t>k</w:t>
      </w:r>
      <w:r>
        <w:rPr>
          <w:lang w:eastAsia="da-DK"/>
        </w:rPr>
        <w:t>len</w:t>
      </w:r>
    </w:p>
    <w:p w:rsidR="00601FF8" w:rsidRDefault="00465C9A" w:rsidP="00601FF8">
      <w:pPr>
        <w:pStyle w:val="Listeafsnit"/>
        <w:numPr>
          <w:ilvl w:val="0"/>
          <w:numId w:val="28"/>
        </w:numPr>
        <w:rPr>
          <w:lang w:eastAsia="da-DK"/>
        </w:rPr>
      </w:pPr>
      <w:r>
        <w:rPr>
          <w:lang w:eastAsia="da-DK"/>
        </w:rPr>
        <w:lastRenderedPageBreak/>
        <w:t>D</w:t>
      </w:r>
      <w:r w:rsidR="00601FF8">
        <w:rPr>
          <w:lang w:eastAsia="da-DK"/>
        </w:rPr>
        <w:t>atavasken sker i de eksisterende registre.</w:t>
      </w:r>
    </w:p>
    <w:p w:rsidR="002D2139" w:rsidRDefault="000539D1" w:rsidP="00EF3BF4">
      <w:pPr>
        <w:rPr>
          <w:lang w:eastAsia="da-DK"/>
        </w:rPr>
      </w:pPr>
      <w:r>
        <w:rPr>
          <w:b/>
          <w:lang w:eastAsia="da-DK"/>
        </w:rPr>
        <w:br/>
      </w:r>
      <w:r>
        <w:rPr>
          <w:lang w:eastAsia="da-DK"/>
        </w:rPr>
        <w:t>D</w:t>
      </w:r>
      <w:r w:rsidR="00540A7F">
        <w:rPr>
          <w:lang w:eastAsia="da-DK"/>
        </w:rPr>
        <w:t>atavasken</w:t>
      </w:r>
      <w:r>
        <w:rPr>
          <w:lang w:eastAsia="da-DK"/>
        </w:rPr>
        <w:t xml:space="preserve"> forventes</w:t>
      </w:r>
      <w:r w:rsidR="00540A7F">
        <w:rPr>
          <w:lang w:eastAsia="da-DK"/>
        </w:rPr>
        <w:t xml:space="preserve"> overstået med udgangen af 2015. Arbejdet skrider planmæssigt frem.</w:t>
      </w:r>
      <w:r w:rsidR="00C50F08">
        <w:rPr>
          <w:lang w:eastAsia="da-DK"/>
        </w:rPr>
        <w:t xml:space="preserve"> </w:t>
      </w:r>
      <w:r>
        <w:rPr>
          <w:lang w:eastAsia="da-DK"/>
        </w:rPr>
        <w:t>Projektet h</w:t>
      </w:r>
      <w:r w:rsidR="00C50F08">
        <w:rPr>
          <w:lang w:eastAsia="da-DK"/>
        </w:rPr>
        <w:t>ar været igennem</w:t>
      </w:r>
      <w:r>
        <w:rPr>
          <w:lang w:eastAsia="da-DK"/>
        </w:rPr>
        <w:t xml:space="preserve"> første </w:t>
      </w:r>
      <w:proofErr w:type="spellStart"/>
      <w:r>
        <w:rPr>
          <w:lang w:eastAsia="da-DK"/>
        </w:rPr>
        <w:t>iteration</w:t>
      </w:r>
      <w:proofErr w:type="spellEnd"/>
      <w:r>
        <w:rPr>
          <w:lang w:eastAsia="da-DK"/>
        </w:rPr>
        <w:t xml:space="preserve"> på </w:t>
      </w:r>
      <w:proofErr w:type="spellStart"/>
      <w:r>
        <w:rPr>
          <w:lang w:eastAsia="da-DK"/>
        </w:rPr>
        <w:t>jord</w:t>
      </w:r>
      <w:r w:rsidR="00465C9A">
        <w:rPr>
          <w:lang w:eastAsia="da-DK"/>
        </w:rPr>
        <w:t>ejndomme</w:t>
      </w:r>
      <w:proofErr w:type="spellEnd"/>
      <w:r w:rsidR="00465C9A">
        <w:rPr>
          <w:lang w:eastAsia="da-DK"/>
        </w:rPr>
        <w:t xml:space="preserve"> (SFE)</w:t>
      </w:r>
      <w:r>
        <w:rPr>
          <w:lang w:eastAsia="da-DK"/>
        </w:rPr>
        <w:t>, ejerlejligheder og er i gang med BPFG</w:t>
      </w:r>
      <w:r w:rsidR="00C50F08">
        <w:rPr>
          <w:lang w:eastAsia="da-DK"/>
        </w:rPr>
        <w:t xml:space="preserve">. </w:t>
      </w:r>
    </w:p>
    <w:p w:rsidR="000E34F3" w:rsidRDefault="00B626B0" w:rsidP="00EF3BF4">
      <w:pPr>
        <w:rPr>
          <w:lang w:eastAsia="da-DK"/>
        </w:rPr>
      </w:pPr>
      <w:r>
        <w:rPr>
          <w:lang w:eastAsia="da-DK"/>
        </w:rPr>
        <w:t xml:space="preserve">Mht. til tingbogen er datavasken </w:t>
      </w:r>
      <w:r w:rsidR="001A4BFC">
        <w:rPr>
          <w:lang w:eastAsia="da-DK"/>
        </w:rPr>
        <w:t xml:space="preserve">for SFE og ejerlejligheder </w:t>
      </w:r>
      <w:r>
        <w:rPr>
          <w:lang w:eastAsia="da-DK"/>
        </w:rPr>
        <w:t xml:space="preserve">afsluttet. </w:t>
      </w:r>
      <w:r w:rsidR="00174F09">
        <w:rPr>
          <w:lang w:eastAsia="da-DK"/>
        </w:rPr>
        <w:t>Der eksisterer fortsat tilfælde hvor fordelingstallet ikke er 100. Her er Tingbogens</w:t>
      </w:r>
      <w:r w:rsidR="006F7D4D">
        <w:rPr>
          <w:lang w:eastAsia="da-DK"/>
        </w:rPr>
        <w:t xml:space="preserve"> fordelingstal det retlige</w:t>
      </w:r>
      <w:r w:rsidR="00EE6D20">
        <w:rPr>
          <w:lang w:eastAsia="da-DK"/>
        </w:rPr>
        <w:t xml:space="preserve"> og kan ikke ændres. SKAT</w:t>
      </w:r>
      <w:r w:rsidR="00174F09">
        <w:rPr>
          <w:lang w:eastAsia="da-DK"/>
        </w:rPr>
        <w:t xml:space="preserve"> skal </w:t>
      </w:r>
      <w:r w:rsidR="00EE6D20">
        <w:rPr>
          <w:lang w:eastAsia="da-DK"/>
        </w:rPr>
        <w:t>derfor</w:t>
      </w:r>
      <w:r w:rsidR="00174F09">
        <w:rPr>
          <w:lang w:eastAsia="da-DK"/>
        </w:rPr>
        <w:t xml:space="preserve"> overtage </w:t>
      </w:r>
      <w:proofErr w:type="spellStart"/>
      <w:r w:rsidR="00174F09">
        <w:rPr>
          <w:lang w:eastAsia="da-DK"/>
        </w:rPr>
        <w:t>ESR’s</w:t>
      </w:r>
      <w:proofErr w:type="spellEnd"/>
      <w:r w:rsidR="00174F09">
        <w:rPr>
          <w:lang w:eastAsia="da-DK"/>
        </w:rPr>
        <w:t xml:space="preserve"> </w:t>
      </w:r>
      <w:r w:rsidR="00EE6D20">
        <w:rPr>
          <w:lang w:eastAsia="da-DK"/>
        </w:rPr>
        <w:t xml:space="preserve">mulighed for at kunne ændre </w:t>
      </w:r>
      <w:r w:rsidR="00174F09">
        <w:rPr>
          <w:lang w:eastAsia="da-DK"/>
        </w:rPr>
        <w:t xml:space="preserve">fordelingstal </w:t>
      </w:r>
      <w:r w:rsidR="001A4BFC">
        <w:rPr>
          <w:lang w:eastAsia="da-DK"/>
        </w:rPr>
        <w:t>ift.</w:t>
      </w:r>
      <w:r w:rsidR="00EE6D20">
        <w:rPr>
          <w:lang w:eastAsia="da-DK"/>
        </w:rPr>
        <w:t xml:space="preserve"> Vurderingen</w:t>
      </w:r>
      <w:r w:rsidR="006F7D4D">
        <w:rPr>
          <w:lang w:eastAsia="da-DK"/>
        </w:rPr>
        <w:t xml:space="preserve">. </w:t>
      </w:r>
    </w:p>
    <w:p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hovedmilepæle og relationer til GD1/GD2</w:t>
      </w:r>
    </w:p>
    <w:p w:rsidR="00EF3BF4" w:rsidRDefault="0054097D" w:rsidP="00EF3BF4">
      <w:pPr>
        <w:spacing w:after="120"/>
        <w:rPr>
          <w:lang w:eastAsia="da-DK"/>
        </w:rPr>
      </w:pPr>
      <w:r>
        <w:rPr>
          <w:lang w:eastAsia="da-DK"/>
        </w:rPr>
        <w:t>Projektets indmeldte hovedmilepæle: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7454"/>
        <w:gridCol w:w="1501"/>
      </w:tblGrid>
      <w:tr w:rsidR="00EF3BF4" w:rsidRPr="00A20598" w:rsidTr="00154EE7">
        <w:trPr>
          <w:cantSplit/>
          <w:tblHeader/>
        </w:trPr>
        <w:tc>
          <w:tcPr>
            <w:tcW w:w="8019" w:type="dxa"/>
            <w:gridSpan w:val="2"/>
            <w:shd w:val="clear" w:color="auto" w:fill="B6DDE8" w:themeFill="accent5" w:themeFillTint="66"/>
          </w:tcPr>
          <w:p w:rsidR="00EF3BF4" w:rsidRPr="00A20598" w:rsidRDefault="00EF3BF4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brug for </w:t>
            </w:r>
            <w:proofErr w:type="spellStart"/>
            <w:r w:rsidRPr="00A20598">
              <w:rPr>
                <w:b/>
                <w:lang w:eastAsia="da-DK"/>
              </w:rPr>
              <w:t>replanlægning</w:t>
            </w:r>
            <w:proofErr w:type="spellEnd"/>
            <w:r w:rsidRPr="00A20598">
              <w:rPr>
                <w:b/>
                <w:lang w:eastAsia="da-DK"/>
              </w:rPr>
              <w:t xml:space="preserve"> i GD1/GD2</w:t>
            </w:r>
          </w:p>
        </w:tc>
        <w:tc>
          <w:tcPr>
            <w:tcW w:w="1501" w:type="dxa"/>
            <w:shd w:val="clear" w:color="auto" w:fill="B6DDE8" w:themeFill="accent5" w:themeFillTint="66"/>
          </w:tcPr>
          <w:p w:rsidR="00EF3BF4" w:rsidRPr="00A20598" w:rsidRDefault="00EF3BF4" w:rsidP="00154EE7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</w:p>
        </w:tc>
      </w:tr>
      <w:tr w:rsidR="00EF3BF4" w:rsidTr="00154EE7">
        <w:trPr>
          <w:cantSplit/>
        </w:trPr>
        <w:tc>
          <w:tcPr>
            <w:tcW w:w="565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454" w:type="dxa"/>
          </w:tcPr>
          <w:p w:rsidR="00EF3BF4" w:rsidRPr="00B34CCF" w:rsidRDefault="00160F6A" w:rsidP="00154E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Tildeling</w:t>
            </w:r>
            <w:r w:rsidR="00072A68">
              <w:rPr>
                <w:rFonts w:ascii="Calibri" w:hAnsi="Calibri"/>
                <w:color w:val="000000"/>
              </w:rPr>
              <w:t xml:space="preserve"> og påføring</w:t>
            </w:r>
            <w:r w:rsidR="00D73E78">
              <w:rPr>
                <w:rFonts w:ascii="Calibri" w:hAnsi="Calibri"/>
                <w:color w:val="000000"/>
              </w:rPr>
              <w:t xml:space="preserve"> af BFE nummer </w:t>
            </w:r>
            <w:r w:rsidR="00EE6D20">
              <w:rPr>
                <w:rFonts w:ascii="Calibri" w:hAnsi="Calibri"/>
                <w:color w:val="000000"/>
              </w:rPr>
              <w:t xml:space="preserve">i testmiljø </w:t>
            </w:r>
            <w:r w:rsidR="00D73E78">
              <w:rPr>
                <w:rFonts w:ascii="Calibri" w:hAnsi="Calibri"/>
                <w:color w:val="000000"/>
              </w:rPr>
              <w:t>til T</w:t>
            </w:r>
            <w:r>
              <w:rPr>
                <w:rFonts w:ascii="Calibri" w:hAnsi="Calibri"/>
                <w:color w:val="000000"/>
              </w:rPr>
              <w:t>ingbog</w:t>
            </w:r>
            <w:r w:rsidR="00692676">
              <w:rPr>
                <w:rFonts w:ascii="Calibri" w:hAnsi="Calibri"/>
                <w:color w:val="000000"/>
              </w:rPr>
              <w:t xml:space="preserve"> </w:t>
            </w:r>
            <w:r w:rsidR="00072A68">
              <w:rPr>
                <w:rFonts w:ascii="Calibri" w:hAnsi="Calibri"/>
                <w:color w:val="000000"/>
              </w:rPr>
              <w:t>og ESR</w:t>
            </w:r>
            <w:r w:rsidR="00692676">
              <w:rPr>
                <w:rFonts w:ascii="Calibri" w:hAnsi="Calibri"/>
                <w:color w:val="000000"/>
              </w:rPr>
              <w:t xml:space="preserve"> (og </w:t>
            </w:r>
            <w:r w:rsidR="00EE6D20">
              <w:rPr>
                <w:rFonts w:ascii="Calibri" w:hAnsi="Calibri"/>
                <w:color w:val="000000"/>
              </w:rPr>
              <w:t xml:space="preserve">dermed indirekte </w:t>
            </w:r>
            <w:r w:rsidR="00692676">
              <w:rPr>
                <w:rFonts w:ascii="Calibri" w:hAnsi="Calibri"/>
                <w:color w:val="000000"/>
              </w:rPr>
              <w:t>BBR)</w:t>
            </w:r>
            <w:r w:rsidR="00EE6D20">
              <w:rPr>
                <w:rFonts w:ascii="Calibri" w:hAnsi="Calibri"/>
                <w:color w:val="000000"/>
              </w:rPr>
              <w:t xml:space="preserve"> til brug for den samlede integrationstest.</w:t>
            </w:r>
          </w:p>
        </w:tc>
        <w:tc>
          <w:tcPr>
            <w:tcW w:w="1501" w:type="dxa"/>
          </w:tcPr>
          <w:p w:rsidR="00EF3BF4" w:rsidRDefault="00072A68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Ultimo 2015</w:t>
            </w:r>
          </w:p>
        </w:tc>
      </w:tr>
      <w:tr w:rsidR="00EF3BF4" w:rsidTr="00154EE7">
        <w:trPr>
          <w:cantSplit/>
        </w:trPr>
        <w:tc>
          <w:tcPr>
            <w:tcW w:w="565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454" w:type="dxa"/>
          </w:tcPr>
          <w:p w:rsidR="00EF3BF4" w:rsidRPr="00B34CCF" w:rsidRDefault="00EE6D20" w:rsidP="00EE6D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Tildeling og påføring af BFE nummer i produktionsdata til Tingbog og ESR (og dermed indirekte BBR) inden </w:t>
            </w:r>
            <w:proofErr w:type="spellStart"/>
            <w:r>
              <w:rPr>
                <w:rFonts w:ascii="Calibri" w:hAnsi="Calibri"/>
                <w:color w:val="000000"/>
              </w:rPr>
              <w:t>idriftssættelse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01" w:type="dxa"/>
          </w:tcPr>
          <w:p w:rsidR="00EF3BF4" w:rsidRDefault="00EE6D20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Kort inden idriftsættelse af MU som autoritativt register.</w:t>
            </w:r>
          </w:p>
        </w:tc>
      </w:tr>
      <w:tr w:rsidR="00EF3BF4" w:rsidTr="00154EE7">
        <w:trPr>
          <w:cantSplit/>
        </w:trPr>
        <w:tc>
          <w:tcPr>
            <w:tcW w:w="565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454" w:type="dxa"/>
          </w:tcPr>
          <w:p w:rsidR="00EF3BF4" w:rsidRDefault="00EF3BF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501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:rsidTr="00154EE7">
        <w:trPr>
          <w:cantSplit/>
        </w:trPr>
        <w:tc>
          <w:tcPr>
            <w:tcW w:w="565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454" w:type="dxa"/>
          </w:tcPr>
          <w:p w:rsidR="00EF3BF4" w:rsidRPr="002A641A" w:rsidRDefault="00EF3BF4" w:rsidP="00154E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1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EF3BF4" w:rsidTr="00154EE7">
        <w:trPr>
          <w:cantSplit/>
        </w:trPr>
        <w:tc>
          <w:tcPr>
            <w:tcW w:w="565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454" w:type="dxa"/>
          </w:tcPr>
          <w:p w:rsidR="00EF3BF4" w:rsidRDefault="00EF3BF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501" w:type="dxa"/>
          </w:tcPr>
          <w:p w:rsidR="00EF3BF4" w:rsidRDefault="00EF3BF4" w:rsidP="00154EE7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t>Projektets arbejdspakker</w:t>
      </w:r>
    </w:p>
    <w:p w:rsidR="0054097D" w:rsidRDefault="0054097D" w:rsidP="0054097D">
      <w:pPr>
        <w:spacing w:after="120"/>
        <w:rPr>
          <w:lang w:eastAsia="da-DK"/>
        </w:rPr>
      </w:pPr>
      <w:r>
        <w:rPr>
          <w:lang w:eastAsia="da-DK"/>
        </w:rPr>
        <w:t>Projektets indmeldte arbejdspakker:</w:t>
      </w:r>
    </w:p>
    <w:p w:rsidR="00F01BCA" w:rsidRDefault="00F01BCA" w:rsidP="0054097D">
      <w:pPr>
        <w:spacing w:after="120"/>
        <w:rPr>
          <w:lang w:eastAsia="da-DK"/>
        </w:rPr>
      </w:pPr>
      <w:r>
        <w:rPr>
          <w:lang w:eastAsia="da-DK"/>
        </w:rPr>
        <w:t>Arbejdspakker ligger under Matriklens udvidelse.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6301"/>
        <w:gridCol w:w="1192"/>
        <w:gridCol w:w="1165"/>
      </w:tblGrid>
      <w:tr w:rsidR="0054097D" w:rsidRPr="00A20598" w:rsidTr="0054097D">
        <w:trPr>
          <w:cantSplit/>
          <w:tblHeader/>
        </w:trPr>
        <w:tc>
          <w:tcPr>
            <w:tcW w:w="1026" w:type="dxa"/>
            <w:shd w:val="clear" w:color="auto" w:fill="B6DDE8" w:themeFill="accent5" w:themeFillTint="66"/>
          </w:tcPr>
          <w:p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Nummer</w:t>
            </w:r>
          </w:p>
        </w:tc>
        <w:tc>
          <w:tcPr>
            <w:tcW w:w="6301" w:type="dxa"/>
            <w:shd w:val="clear" w:color="auto" w:fill="B6DDE8" w:themeFill="accent5" w:themeFillTint="66"/>
          </w:tcPr>
          <w:p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Navn</w:t>
            </w:r>
          </w:p>
        </w:tc>
        <w:tc>
          <w:tcPr>
            <w:tcW w:w="1192" w:type="dxa"/>
            <w:shd w:val="clear" w:color="auto" w:fill="B6DDE8" w:themeFill="accent5" w:themeFillTint="66"/>
          </w:tcPr>
          <w:p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Startdate</w:t>
            </w:r>
          </w:p>
        </w:tc>
        <w:tc>
          <w:tcPr>
            <w:tcW w:w="1165" w:type="dxa"/>
            <w:shd w:val="clear" w:color="auto" w:fill="B6DDE8" w:themeFill="accent5" w:themeFillTint="66"/>
          </w:tcPr>
          <w:p w:rsidR="0054097D" w:rsidRPr="00A20598" w:rsidRDefault="0054097D" w:rsidP="00154EE7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Slutdato</w:t>
            </w:r>
          </w:p>
        </w:tc>
      </w:tr>
      <w:tr w:rsidR="0054097D" w:rsidTr="0054097D">
        <w:trPr>
          <w:cantSplit/>
        </w:trPr>
        <w:tc>
          <w:tcPr>
            <w:tcW w:w="1026" w:type="dxa"/>
          </w:tcPr>
          <w:p w:rsidR="0054097D" w:rsidRDefault="00D73E78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1</w:t>
            </w:r>
          </w:p>
        </w:tc>
        <w:tc>
          <w:tcPr>
            <w:tcW w:w="6301" w:type="dxa"/>
          </w:tcPr>
          <w:p w:rsidR="0054097D" w:rsidRDefault="00D73E78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Pilotprojekt</w:t>
            </w:r>
          </w:p>
        </w:tc>
        <w:tc>
          <w:tcPr>
            <w:tcW w:w="1192" w:type="dxa"/>
          </w:tcPr>
          <w:p w:rsidR="0054097D" w:rsidRDefault="0054097D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54097D" w:rsidRDefault="00D73E78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afsluttet</w:t>
            </w:r>
          </w:p>
        </w:tc>
      </w:tr>
      <w:tr w:rsidR="00483CA4" w:rsidTr="0054097D">
        <w:trPr>
          <w:cantSplit/>
        </w:trPr>
        <w:tc>
          <w:tcPr>
            <w:tcW w:w="1026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2</w:t>
            </w:r>
          </w:p>
        </w:tc>
        <w:tc>
          <w:tcPr>
            <w:tcW w:w="6301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3 x datavask: SFE, Ejerlejligheder og BPFG</w:t>
            </w:r>
          </w:p>
        </w:tc>
        <w:tc>
          <w:tcPr>
            <w:tcW w:w="1192" w:type="dxa"/>
          </w:tcPr>
          <w:p w:rsidR="00483CA4" w:rsidRDefault="00EE012E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?</w:t>
            </w:r>
          </w:p>
        </w:tc>
        <w:tc>
          <w:tcPr>
            <w:tcW w:w="1165" w:type="dxa"/>
          </w:tcPr>
          <w:p w:rsidR="00483CA4" w:rsidRDefault="00EE012E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?</w:t>
            </w:r>
          </w:p>
        </w:tc>
      </w:tr>
      <w:tr w:rsidR="00483CA4" w:rsidTr="0054097D">
        <w:trPr>
          <w:cantSplit/>
        </w:trPr>
        <w:tc>
          <w:tcPr>
            <w:tcW w:w="1026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3</w:t>
            </w:r>
          </w:p>
        </w:tc>
        <w:tc>
          <w:tcPr>
            <w:tcW w:w="6301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3 x migrering; SFE, Ejerlejligheder og BPFG</w:t>
            </w:r>
          </w:p>
        </w:tc>
        <w:tc>
          <w:tcPr>
            <w:tcW w:w="1192" w:type="dxa"/>
          </w:tcPr>
          <w:p w:rsidR="00483CA4" w:rsidRDefault="00EE012E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?</w:t>
            </w:r>
          </w:p>
        </w:tc>
        <w:tc>
          <w:tcPr>
            <w:tcW w:w="1165" w:type="dxa"/>
          </w:tcPr>
          <w:p w:rsidR="00483CA4" w:rsidRDefault="00EE012E" w:rsidP="00154EE7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?</w:t>
            </w:r>
          </w:p>
        </w:tc>
      </w:tr>
      <w:tr w:rsidR="00483CA4" w:rsidTr="0054097D">
        <w:trPr>
          <w:cantSplit/>
        </w:trPr>
        <w:tc>
          <w:tcPr>
            <w:tcW w:w="1026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</w:tr>
      <w:tr w:rsidR="00483CA4" w:rsidTr="0054097D">
        <w:trPr>
          <w:cantSplit/>
        </w:trPr>
        <w:tc>
          <w:tcPr>
            <w:tcW w:w="1026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6301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92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  <w:tc>
          <w:tcPr>
            <w:tcW w:w="1165" w:type="dxa"/>
          </w:tcPr>
          <w:p w:rsidR="00483CA4" w:rsidRDefault="00483CA4" w:rsidP="00154EE7">
            <w:pPr>
              <w:spacing w:before="40" w:after="40"/>
              <w:rPr>
                <w:lang w:eastAsia="da-DK"/>
              </w:rPr>
            </w:pPr>
          </w:p>
        </w:tc>
      </w:tr>
    </w:tbl>
    <w:p w:rsidR="0054097D" w:rsidRDefault="0054097D" w:rsidP="0054097D">
      <w:pPr>
        <w:spacing w:after="0"/>
        <w:rPr>
          <w:lang w:eastAsia="da-DK"/>
        </w:rPr>
      </w:pPr>
    </w:p>
    <w:p w:rsidR="00B8212F" w:rsidRDefault="00670933" w:rsidP="00EF3BF4">
      <w:pPr>
        <w:rPr>
          <w:lang w:eastAsia="da-DK"/>
        </w:rPr>
      </w:pPr>
      <w:r>
        <w:rPr>
          <w:lang w:eastAsia="da-DK"/>
        </w:rPr>
        <w:t>Baggrunden for o</w:t>
      </w:r>
      <w:r w:rsidR="00B8212F">
        <w:rPr>
          <w:lang w:eastAsia="da-DK"/>
        </w:rPr>
        <w:t>pdeling af datavask i tre arbejdspakker er, at slutkriterier/kvalitetskriterier herfor er fo</w:t>
      </w:r>
      <w:r w:rsidR="00B8212F">
        <w:rPr>
          <w:lang w:eastAsia="da-DK"/>
        </w:rPr>
        <w:t>r</w:t>
      </w:r>
      <w:r w:rsidR="00B8212F">
        <w:rPr>
          <w:lang w:eastAsia="da-DK"/>
        </w:rPr>
        <w:t>skellige for de tre pakker samt at afslutningstidspunktet for hver af disse (samt selve migreringen) kan være forskellig.</w:t>
      </w:r>
    </w:p>
    <w:p w:rsidR="00F02EEE" w:rsidRDefault="00F02EEE" w:rsidP="00EF3BF4">
      <w:pPr>
        <w:rPr>
          <w:lang w:eastAsia="da-DK"/>
        </w:rPr>
      </w:pPr>
      <w:r>
        <w:rPr>
          <w:lang w:eastAsia="da-DK"/>
        </w:rPr>
        <w:t xml:space="preserve">Områderne er afhængige af lovændringer, der koordineres i lovgivningsprojektet </w:t>
      </w:r>
    </w:p>
    <w:p w:rsidR="00EF3BF4" w:rsidRDefault="0054097D" w:rsidP="00EF3BF4">
      <w:pPr>
        <w:rPr>
          <w:lang w:eastAsia="da-DK"/>
        </w:rPr>
      </w:pPr>
      <w:r>
        <w:rPr>
          <w:lang w:eastAsia="da-DK"/>
        </w:rPr>
        <w:t>Aftalt plan for opdatering af arbejdspakkebeskrivelser</w:t>
      </w:r>
      <w:r w:rsidR="00B8212F">
        <w:rPr>
          <w:lang w:eastAsia="da-DK"/>
        </w:rPr>
        <w:t>: Senest uge 40.</w:t>
      </w:r>
    </w:p>
    <w:p w:rsidR="00B4089C" w:rsidRPr="00EF3BF4" w:rsidRDefault="00B4089C" w:rsidP="00EF3BF4">
      <w:pPr>
        <w:rPr>
          <w:lang w:eastAsia="da-DK"/>
        </w:rPr>
      </w:pPr>
    </w:p>
    <w:p w:rsidR="00EF3BF4" w:rsidRDefault="00EF3BF4" w:rsidP="00FE1841">
      <w:pPr>
        <w:pStyle w:val="Overskrift2"/>
        <w:spacing w:before="240"/>
        <w:rPr>
          <w:b/>
        </w:rPr>
      </w:pPr>
      <w:r>
        <w:rPr>
          <w:b/>
        </w:rPr>
        <w:lastRenderedPageBreak/>
        <w:t>Øvrige problemstillinger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612"/>
        <w:gridCol w:w="1972"/>
        <w:gridCol w:w="3162"/>
      </w:tblGrid>
      <w:tr w:rsidR="00B4089C" w:rsidRPr="00B4089C" w:rsidTr="00EE012E">
        <w:tc>
          <w:tcPr>
            <w:tcW w:w="4612" w:type="dxa"/>
            <w:shd w:val="clear" w:color="auto" w:fill="B6DDE8" w:themeFill="accent5" w:themeFillTint="66"/>
          </w:tcPr>
          <w:p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Problemstilling</w:t>
            </w:r>
          </w:p>
        </w:tc>
        <w:tc>
          <w:tcPr>
            <w:tcW w:w="1972" w:type="dxa"/>
            <w:shd w:val="clear" w:color="auto" w:fill="B6DDE8" w:themeFill="accent5" w:themeFillTint="66"/>
          </w:tcPr>
          <w:p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Involverede parter</w:t>
            </w:r>
          </w:p>
        </w:tc>
        <w:tc>
          <w:tcPr>
            <w:tcW w:w="3162" w:type="dxa"/>
            <w:shd w:val="clear" w:color="auto" w:fill="B6DDE8" w:themeFill="accent5" w:themeFillTint="66"/>
          </w:tcPr>
          <w:p w:rsidR="00B4089C" w:rsidRPr="00B4089C" w:rsidRDefault="00B4089C" w:rsidP="00B4089C">
            <w:pPr>
              <w:spacing w:before="60" w:after="60"/>
              <w:rPr>
                <w:b/>
                <w:lang w:eastAsia="da-DK"/>
              </w:rPr>
            </w:pPr>
            <w:r w:rsidRPr="00B4089C">
              <w:rPr>
                <w:b/>
                <w:lang w:eastAsia="da-DK"/>
              </w:rPr>
              <w:t>Forslag til handling</w:t>
            </w:r>
          </w:p>
        </w:tc>
      </w:tr>
      <w:tr w:rsidR="00B4089C" w:rsidTr="00EE012E">
        <w:tc>
          <w:tcPr>
            <w:tcW w:w="4612" w:type="dxa"/>
          </w:tcPr>
          <w:p w:rsidR="00B4089C" w:rsidRDefault="00C575A0" w:rsidP="00315E10">
            <w:pPr>
              <w:rPr>
                <w:lang w:eastAsia="da-DK"/>
              </w:rPr>
            </w:pPr>
            <w:r>
              <w:rPr>
                <w:lang w:eastAsia="da-DK"/>
              </w:rPr>
              <w:t>I ESR skal der gøres plads til BFE nummer, KMD skal have besked om at sætte nummeret på. MU kan aflevere BFE</w:t>
            </w:r>
            <w:r w:rsidR="00315E10">
              <w:rPr>
                <w:lang w:eastAsia="da-DK"/>
              </w:rPr>
              <w:t xml:space="preserve"> nummeret til KMD og en mil</w:t>
            </w:r>
            <w:r w:rsidR="00315E10">
              <w:rPr>
                <w:lang w:eastAsia="da-DK"/>
              </w:rPr>
              <w:t>e</w:t>
            </w:r>
            <w:r w:rsidR="00315E10">
              <w:rPr>
                <w:lang w:eastAsia="da-DK"/>
              </w:rPr>
              <w:t>pæl for datavasken er ”</w:t>
            </w:r>
            <w:r>
              <w:rPr>
                <w:lang w:eastAsia="da-DK"/>
              </w:rPr>
              <w:t>klar til aflevering”</w:t>
            </w:r>
            <w:r w:rsidR="00670933">
              <w:rPr>
                <w:lang w:eastAsia="da-DK"/>
              </w:rPr>
              <w:t>.</w:t>
            </w:r>
            <w:r>
              <w:rPr>
                <w:lang w:eastAsia="da-DK"/>
              </w:rPr>
              <w:t xml:space="preserve"> Der er en afhængighed til ESR her i</w:t>
            </w:r>
            <w:r w:rsidR="00315E10">
              <w:rPr>
                <w:lang w:eastAsia="da-DK"/>
              </w:rPr>
              <w:t xml:space="preserve">det BFE nummer skal være tilføjet når migreringen finder sted. </w:t>
            </w:r>
            <w:r>
              <w:rPr>
                <w:lang w:eastAsia="da-DK"/>
              </w:rPr>
              <w:t xml:space="preserve"> </w:t>
            </w:r>
          </w:p>
        </w:tc>
        <w:tc>
          <w:tcPr>
            <w:tcW w:w="1972" w:type="dxa"/>
          </w:tcPr>
          <w:p w:rsidR="00B4089C" w:rsidRDefault="00315E10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GST /KL /</w:t>
            </w:r>
            <w:r w:rsidR="00C575A0">
              <w:rPr>
                <w:lang w:eastAsia="da-DK"/>
              </w:rPr>
              <w:t xml:space="preserve"> KOMBIT</w:t>
            </w:r>
          </w:p>
        </w:tc>
        <w:tc>
          <w:tcPr>
            <w:tcW w:w="3162" w:type="dxa"/>
          </w:tcPr>
          <w:p w:rsidR="00B4089C" w:rsidRDefault="00C575A0" w:rsidP="00315E10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GD1 </w:t>
            </w:r>
            <w:r w:rsidR="00315E10">
              <w:rPr>
                <w:lang w:eastAsia="da-DK"/>
              </w:rPr>
              <w:t xml:space="preserve">drøfter </w:t>
            </w:r>
            <w:r w:rsidR="00B8212F">
              <w:rPr>
                <w:lang w:eastAsia="da-DK"/>
              </w:rPr>
              <w:t>plan herfor på m</w:t>
            </w:r>
            <w:r w:rsidR="00B8212F">
              <w:rPr>
                <w:lang w:eastAsia="da-DK"/>
              </w:rPr>
              <w:t>ø</w:t>
            </w:r>
            <w:r w:rsidR="00B8212F">
              <w:rPr>
                <w:lang w:eastAsia="da-DK"/>
              </w:rPr>
              <w:t xml:space="preserve">det </w:t>
            </w:r>
            <w:proofErr w:type="gramStart"/>
            <w:r w:rsidR="00315E10">
              <w:rPr>
                <w:lang w:eastAsia="da-DK"/>
              </w:rPr>
              <w:t xml:space="preserve">med </w:t>
            </w:r>
            <w:r>
              <w:rPr>
                <w:lang w:eastAsia="da-DK"/>
              </w:rPr>
              <w:t xml:space="preserve"> KOMBIT</w:t>
            </w:r>
            <w:proofErr w:type="gramEnd"/>
            <w:r>
              <w:rPr>
                <w:lang w:eastAsia="da-DK"/>
              </w:rPr>
              <w:t>.</w:t>
            </w:r>
          </w:p>
        </w:tc>
      </w:tr>
      <w:tr w:rsidR="00B4089C" w:rsidTr="00EE012E">
        <w:tc>
          <w:tcPr>
            <w:tcW w:w="4612" w:type="dxa"/>
          </w:tcPr>
          <w:p w:rsidR="00B4089C" w:rsidRDefault="003D01E4" w:rsidP="000C3239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Hvornår </w:t>
            </w:r>
            <w:r w:rsidR="000C3239">
              <w:rPr>
                <w:lang w:eastAsia="da-DK"/>
              </w:rPr>
              <w:t xml:space="preserve">og hvordan </w:t>
            </w:r>
            <w:r>
              <w:rPr>
                <w:lang w:eastAsia="da-DK"/>
              </w:rPr>
              <w:t xml:space="preserve">skal </w:t>
            </w:r>
            <w:r w:rsidR="000C3239">
              <w:rPr>
                <w:lang w:eastAsia="da-DK"/>
              </w:rPr>
              <w:t>ejendomme</w:t>
            </w:r>
            <w:r>
              <w:rPr>
                <w:lang w:eastAsia="da-DK"/>
              </w:rPr>
              <w:t xml:space="preserve"> i </w:t>
            </w:r>
            <w:r w:rsidR="00315E10">
              <w:rPr>
                <w:lang w:eastAsia="da-DK"/>
              </w:rPr>
              <w:t>tingbogen tildeles BFE nummer? Det er uklart om</w:t>
            </w:r>
            <w:r>
              <w:rPr>
                <w:lang w:eastAsia="da-DK"/>
              </w:rPr>
              <w:t xml:space="preserve"> tingb</w:t>
            </w:r>
            <w:r>
              <w:rPr>
                <w:lang w:eastAsia="da-DK"/>
              </w:rPr>
              <w:t>o</w:t>
            </w:r>
            <w:r>
              <w:rPr>
                <w:lang w:eastAsia="da-DK"/>
              </w:rPr>
              <w:t>gen</w:t>
            </w:r>
            <w:r w:rsidR="00315E10">
              <w:rPr>
                <w:lang w:eastAsia="da-DK"/>
              </w:rPr>
              <w:t xml:space="preserve"> har</w:t>
            </w:r>
            <w:r>
              <w:rPr>
                <w:lang w:eastAsia="da-DK"/>
              </w:rPr>
              <w:t xml:space="preserve"> bekræftet at de har plads til</w:t>
            </w:r>
            <w:r w:rsidR="00315E10">
              <w:rPr>
                <w:lang w:eastAsia="da-DK"/>
              </w:rPr>
              <w:t xml:space="preserve"> og vil i</w:t>
            </w:r>
            <w:r w:rsidR="00315E10">
              <w:rPr>
                <w:lang w:eastAsia="da-DK"/>
              </w:rPr>
              <w:t>m</w:t>
            </w:r>
            <w:r w:rsidR="00315E10">
              <w:rPr>
                <w:lang w:eastAsia="da-DK"/>
              </w:rPr>
              <w:t>plementere</w:t>
            </w:r>
            <w:r>
              <w:rPr>
                <w:lang w:eastAsia="da-DK"/>
              </w:rPr>
              <w:t xml:space="preserve"> BFE num</w:t>
            </w:r>
            <w:r w:rsidR="00315E10">
              <w:rPr>
                <w:lang w:eastAsia="da-DK"/>
              </w:rPr>
              <w:t>mer ultimo 2015.</w:t>
            </w:r>
          </w:p>
        </w:tc>
        <w:tc>
          <w:tcPr>
            <w:tcW w:w="1972" w:type="dxa"/>
          </w:tcPr>
          <w:p w:rsidR="00B4089C" w:rsidRDefault="003D01E4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/ Tinglysning</w:t>
            </w:r>
            <w:r>
              <w:rPr>
                <w:lang w:eastAsia="da-DK"/>
              </w:rPr>
              <w:t>s</w:t>
            </w:r>
            <w:r>
              <w:rPr>
                <w:lang w:eastAsia="da-DK"/>
              </w:rPr>
              <w:t>retten</w:t>
            </w:r>
          </w:p>
        </w:tc>
        <w:tc>
          <w:tcPr>
            <w:tcW w:w="3162" w:type="dxa"/>
          </w:tcPr>
          <w:p w:rsidR="00B4089C" w:rsidRDefault="003D01E4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GD1 undersøger nærmere</w:t>
            </w:r>
          </w:p>
        </w:tc>
      </w:tr>
      <w:tr w:rsidR="00D164E8" w:rsidTr="00EE012E">
        <w:tc>
          <w:tcPr>
            <w:tcW w:w="4612" w:type="dxa"/>
          </w:tcPr>
          <w:p w:rsidR="00D164E8" w:rsidRDefault="003D01E4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Datavask strategien skal opdateres med de erf</w:t>
            </w:r>
            <w:r>
              <w:rPr>
                <w:lang w:eastAsia="da-DK"/>
              </w:rPr>
              <w:t>a</w:t>
            </w:r>
            <w:r>
              <w:rPr>
                <w:lang w:eastAsia="da-DK"/>
              </w:rPr>
              <w:t>rin</w:t>
            </w:r>
            <w:r w:rsidR="001953C6">
              <w:rPr>
                <w:lang w:eastAsia="da-DK"/>
              </w:rPr>
              <w:t>ger der er gjort /</w:t>
            </w:r>
            <w:r>
              <w:rPr>
                <w:lang w:eastAsia="da-DK"/>
              </w:rPr>
              <w:t xml:space="preserve"> t</w:t>
            </w:r>
            <w:r w:rsidR="00707E24">
              <w:rPr>
                <w:lang w:eastAsia="da-DK"/>
              </w:rPr>
              <w:t>ilpasses ambitionsniveau etc.</w:t>
            </w:r>
            <w:r w:rsidR="00B8212F">
              <w:rPr>
                <w:lang w:eastAsia="da-DK"/>
              </w:rPr>
              <w:br/>
              <w:t xml:space="preserve">Herunder at erfaringen er at den oprindeligt planlægte datavask ift. </w:t>
            </w:r>
            <w:proofErr w:type="gramStart"/>
            <w:r w:rsidR="00B8212F">
              <w:rPr>
                <w:lang w:eastAsia="da-DK"/>
              </w:rPr>
              <w:t>elektronisk tinglysning ikke kan gennemføres med det oprindelige a</w:t>
            </w:r>
            <w:r w:rsidR="00B8212F">
              <w:rPr>
                <w:lang w:eastAsia="da-DK"/>
              </w:rPr>
              <w:t>m</w:t>
            </w:r>
            <w:r w:rsidR="00B8212F">
              <w:rPr>
                <w:lang w:eastAsia="da-DK"/>
              </w:rPr>
              <w:t>bitionsniveau.</w:t>
            </w:r>
            <w:proofErr w:type="gramEnd"/>
            <w:r w:rsidR="00707E24">
              <w:rPr>
                <w:lang w:eastAsia="da-DK"/>
              </w:rPr>
              <w:t xml:space="preserve"> </w:t>
            </w:r>
          </w:p>
        </w:tc>
        <w:tc>
          <w:tcPr>
            <w:tcW w:w="1972" w:type="dxa"/>
          </w:tcPr>
          <w:p w:rsidR="00D164E8" w:rsidRDefault="00650BCD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 / GD1</w:t>
            </w:r>
          </w:p>
        </w:tc>
        <w:tc>
          <w:tcPr>
            <w:tcW w:w="3162" w:type="dxa"/>
          </w:tcPr>
          <w:p w:rsidR="00D164E8" w:rsidRDefault="00650BCD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 / GD1 reviderer datavas</w:t>
            </w:r>
            <w:r>
              <w:rPr>
                <w:lang w:eastAsia="da-DK"/>
              </w:rPr>
              <w:t>k</w:t>
            </w:r>
            <w:r>
              <w:rPr>
                <w:lang w:eastAsia="da-DK"/>
              </w:rPr>
              <w:t>strategien.</w:t>
            </w:r>
            <w:r w:rsidR="001953C6">
              <w:rPr>
                <w:lang w:eastAsia="da-DK"/>
              </w:rPr>
              <w:t xml:space="preserve"> (der laves en a</w:t>
            </w:r>
            <w:r w:rsidR="001953C6">
              <w:rPr>
                <w:lang w:eastAsia="da-DK"/>
              </w:rPr>
              <w:t>r</w:t>
            </w:r>
            <w:r w:rsidR="001953C6">
              <w:rPr>
                <w:lang w:eastAsia="da-DK"/>
              </w:rPr>
              <w:t>bejdspakke)</w:t>
            </w:r>
          </w:p>
        </w:tc>
      </w:tr>
      <w:tr w:rsidR="00D164E8" w:rsidTr="00EE012E">
        <w:tc>
          <w:tcPr>
            <w:tcW w:w="4612" w:type="dxa"/>
          </w:tcPr>
          <w:p w:rsidR="00D164E8" w:rsidRDefault="00650BCD" w:rsidP="00650BCD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Opdatering af ESR og Matrikel i paralleldriftsp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rioden. Det er muligt at der sker en forskellig opdatering af Matrikel og ESR i paralleldriftsp</w:t>
            </w:r>
            <w:r>
              <w:rPr>
                <w:lang w:eastAsia="da-DK"/>
              </w:rPr>
              <w:t>e</w:t>
            </w:r>
            <w:r>
              <w:rPr>
                <w:lang w:eastAsia="da-DK"/>
              </w:rPr>
              <w:t>rioden. Datakvalitet skal sikres efter paralle</w:t>
            </w:r>
            <w:r>
              <w:rPr>
                <w:lang w:eastAsia="da-DK"/>
              </w:rPr>
              <w:t>l</w:t>
            </w:r>
            <w:r>
              <w:rPr>
                <w:lang w:eastAsia="da-DK"/>
              </w:rPr>
              <w:t>driftsperioden</w:t>
            </w:r>
          </w:p>
        </w:tc>
        <w:tc>
          <w:tcPr>
            <w:tcW w:w="1972" w:type="dxa"/>
          </w:tcPr>
          <w:p w:rsidR="00D164E8" w:rsidRDefault="001F245B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MU/GD1</w:t>
            </w:r>
          </w:p>
        </w:tc>
        <w:tc>
          <w:tcPr>
            <w:tcW w:w="3162" w:type="dxa"/>
          </w:tcPr>
          <w:p w:rsidR="00D164E8" w:rsidRDefault="00D164E8" w:rsidP="00B4089C">
            <w:pPr>
              <w:spacing w:before="60" w:after="60"/>
              <w:rPr>
                <w:lang w:eastAsia="da-DK"/>
              </w:rPr>
            </w:pPr>
          </w:p>
        </w:tc>
      </w:tr>
      <w:tr w:rsidR="00D164E8" w:rsidTr="00EE012E">
        <w:tc>
          <w:tcPr>
            <w:tcW w:w="4612" w:type="dxa"/>
          </w:tcPr>
          <w:p w:rsidR="00D164E8" w:rsidRDefault="003A1186" w:rsidP="000C3239">
            <w:pPr>
              <w:rPr>
                <w:lang w:eastAsia="da-DK"/>
              </w:rPr>
            </w:pPr>
            <w:r>
              <w:rPr>
                <w:lang w:eastAsia="da-DK"/>
              </w:rPr>
              <w:t xml:space="preserve">BIG Bang eller ej </w:t>
            </w:r>
            <w:r w:rsidR="00B8212F">
              <w:rPr>
                <w:lang w:eastAsia="da-DK"/>
              </w:rPr>
              <w:t xml:space="preserve">ift. implementering af de tre ejendomstyper i Matriklen </w:t>
            </w:r>
            <w:r>
              <w:rPr>
                <w:lang w:eastAsia="da-DK"/>
              </w:rPr>
              <w:t xml:space="preserve">er noget der skal afklares. </w:t>
            </w:r>
            <w:r w:rsidR="00B8212F">
              <w:rPr>
                <w:lang w:eastAsia="da-DK"/>
              </w:rPr>
              <w:t xml:space="preserve">For hele </w:t>
            </w:r>
            <w:proofErr w:type="spellStart"/>
            <w:r w:rsidR="00B8212F">
              <w:rPr>
                <w:lang w:eastAsia="da-DK"/>
              </w:rPr>
              <w:t>replanlægningen</w:t>
            </w:r>
            <w:proofErr w:type="spellEnd"/>
            <w:r w:rsidR="00B8212F">
              <w:rPr>
                <w:lang w:eastAsia="da-DK"/>
              </w:rPr>
              <w:t xml:space="preserve"> </w:t>
            </w:r>
            <w:r w:rsidR="000C3239">
              <w:rPr>
                <w:lang w:eastAsia="da-DK"/>
              </w:rPr>
              <w:t>er afklaring heraf en afgørende forudsætning, idet mange aktiviteter hos andre parte</w:t>
            </w:r>
            <w:r w:rsidR="00670933">
              <w:rPr>
                <w:lang w:eastAsia="da-DK"/>
              </w:rPr>
              <w:t>r</w:t>
            </w:r>
            <w:r w:rsidR="000C3239">
              <w:rPr>
                <w:lang w:eastAsia="da-DK"/>
              </w:rPr>
              <w:t xml:space="preserve"> vil skulle tilpasses denne implementeringsstrategi</w:t>
            </w:r>
            <w:r>
              <w:rPr>
                <w:lang w:eastAsia="da-DK"/>
              </w:rPr>
              <w:t xml:space="preserve">. </w:t>
            </w:r>
          </w:p>
        </w:tc>
        <w:tc>
          <w:tcPr>
            <w:tcW w:w="1972" w:type="dxa"/>
          </w:tcPr>
          <w:p w:rsidR="00D164E8" w:rsidRDefault="009575F8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</w:t>
            </w:r>
          </w:p>
        </w:tc>
        <w:tc>
          <w:tcPr>
            <w:tcW w:w="3162" w:type="dxa"/>
          </w:tcPr>
          <w:p w:rsidR="00D164E8" w:rsidRDefault="009575F8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</w:t>
            </w:r>
            <w:r w:rsidR="00692676">
              <w:rPr>
                <w:lang w:eastAsia="da-DK"/>
              </w:rPr>
              <w:t xml:space="preserve"> /GST</w:t>
            </w:r>
            <w:r>
              <w:rPr>
                <w:lang w:eastAsia="da-DK"/>
              </w:rPr>
              <w:t xml:space="preserve"> afklarer på relevant niveau</w:t>
            </w:r>
          </w:p>
        </w:tc>
      </w:tr>
      <w:tr w:rsidR="00D164E8" w:rsidTr="00EE012E">
        <w:tc>
          <w:tcPr>
            <w:tcW w:w="4612" w:type="dxa"/>
          </w:tcPr>
          <w:p w:rsidR="00D164E8" w:rsidRDefault="00BF54BE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Nødvendig lovgivning</w:t>
            </w:r>
            <w:r w:rsidR="00F524F2">
              <w:rPr>
                <w:lang w:eastAsia="da-DK"/>
              </w:rPr>
              <w:t xml:space="preserve"> i relation til</w:t>
            </w:r>
            <w:r w:rsidR="001F245B">
              <w:rPr>
                <w:lang w:eastAsia="da-DK"/>
              </w:rPr>
              <w:t xml:space="preserve"> migrering /</w:t>
            </w:r>
            <w:r w:rsidR="00F524F2">
              <w:rPr>
                <w:lang w:eastAsia="da-DK"/>
              </w:rPr>
              <w:t xml:space="preserve"> nyt ansvar for Matriklen</w:t>
            </w:r>
          </w:p>
        </w:tc>
        <w:tc>
          <w:tcPr>
            <w:tcW w:w="1972" w:type="dxa"/>
          </w:tcPr>
          <w:p w:rsidR="00D164E8" w:rsidRDefault="00F524F2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MU / </w:t>
            </w:r>
            <w:r w:rsidR="00112971">
              <w:rPr>
                <w:lang w:eastAsia="da-DK"/>
              </w:rPr>
              <w:t>GD1</w:t>
            </w:r>
          </w:p>
        </w:tc>
        <w:tc>
          <w:tcPr>
            <w:tcW w:w="3162" w:type="dxa"/>
          </w:tcPr>
          <w:p w:rsidR="00D164E8" w:rsidRDefault="001A18DC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Afklares i lovprojektet</w:t>
            </w:r>
          </w:p>
        </w:tc>
      </w:tr>
      <w:tr w:rsidR="00D164E8" w:rsidTr="00EE012E">
        <w:tc>
          <w:tcPr>
            <w:tcW w:w="4612" w:type="dxa"/>
          </w:tcPr>
          <w:p w:rsidR="00D164E8" w:rsidRDefault="00315E10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Kommunerne kan ikke rette i SFE-nr. i ESR (KMD løsning)</w:t>
            </w:r>
          </w:p>
        </w:tc>
        <w:tc>
          <w:tcPr>
            <w:tcW w:w="1972" w:type="dxa"/>
          </w:tcPr>
          <w:p w:rsidR="00D164E8" w:rsidRDefault="00315E10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KL,KMD,GST</w:t>
            </w:r>
          </w:p>
        </w:tc>
        <w:tc>
          <w:tcPr>
            <w:tcW w:w="3162" w:type="dxa"/>
          </w:tcPr>
          <w:p w:rsidR="00D164E8" w:rsidRDefault="00315E10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KL/</w:t>
            </w:r>
            <w:proofErr w:type="spellStart"/>
            <w:r>
              <w:rPr>
                <w:lang w:eastAsia="da-DK"/>
              </w:rPr>
              <w:t>Kombit</w:t>
            </w:r>
            <w:proofErr w:type="spellEnd"/>
            <w:r>
              <w:rPr>
                <w:lang w:eastAsia="da-DK"/>
              </w:rPr>
              <w:t xml:space="preserve"> er ansvarlig, GD1 formidler problemstillingen</w:t>
            </w:r>
          </w:p>
        </w:tc>
      </w:tr>
      <w:tr w:rsidR="00D164E8" w:rsidTr="00EE012E">
        <w:tc>
          <w:tcPr>
            <w:tcW w:w="4612" w:type="dxa"/>
          </w:tcPr>
          <w:p w:rsidR="00D164E8" w:rsidRDefault="00DD1E62" w:rsidP="001F245B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Der </w:t>
            </w:r>
            <w:r w:rsidR="001F245B">
              <w:rPr>
                <w:lang w:eastAsia="da-DK"/>
              </w:rPr>
              <w:t>vil væ</w:t>
            </w:r>
            <w:r>
              <w:rPr>
                <w:lang w:eastAsia="da-DK"/>
              </w:rPr>
              <w:t>r</w:t>
            </w:r>
            <w:r w:rsidR="001F245B">
              <w:rPr>
                <w:lang w:eastAsia="da-DK"/>
              </w:rPr>
              <w:t>e</w:t>
            </w:r>
            <w:r>
              <w:rPr>
                <w:lang w:eastAsia="da-DK"/>
              </w:rPr>
              <w:t xml:space="preserve"> en periode med </w:t>
            </w:r>
            <w:r w:rsidR="001F245B">
              <w:rPr>
                <w:lang w:eastAsia="da-DK"/>
              </w:rPr>
              <w:t>”</w:t>
            </w:r>
            <w:r>
              <w:rPr>
                <w:lang w:eastAsia="da-DK"/>
              </w:rPr>
              <w:t>tilvækst</w:t>
            </w:r>
            <w:r w:rsidR="001F245B">
              <w:rPr>
                <w:lang w:eastAsia="da-DK"/>
              </w:rPr>
              <w:t>”</w:t>
            </w:r>
            <w:r>
              <w:rPr>
                <w:lang w:eastAsia="da-DK"/>
              </w:rPr>
              <w:t xml:space="preserve"> frem til </w:t>
            </w:r>
            <w:proofErr w:type="spellStart"/>
            <w:r>
              <w:rPr>
                <w:lang w:eastAsia="da-DK"/>
              </w:rPr>
              <w:t>idriftssæt</w:t>
            </w:r>
            <w:r w:rsidR="00BA2801">
              <w:rPr>
                <w:lang w:eastAsia="da-DK"/>
              </w:rPr>
              <w:t>t</w:t>
            </w:r>
            <w:r>
              <w:rPr>
                <w:lang w:eastAsia="da-DK"/>
              </w:rPr>
              <w:t>else</w:t>
            </w:r>
            <w:proofErr w:type="spellEnd"/>
            <w:r w:rsidR="001F245B">
              <w:rPr>
                <w:lang w:eastAsia="da-DK"/>
              </w:rPr>
              <w:t>, hvor der ikke kan tildeles BFE nummer</w:t>
            </w:r>
            <w:r>
              <w:rPr>
                <w:lang w:eastAsia="da-DK"/>
              </w:rPr>
              <w:t xml:space="preserve">. </w:t>
            </w:r>
            <w:r w:rsidR="00BB2BA5">
              <w:rPr>
                <w:lang w:eastAsia="da-DK"/>
              </w:rPr>
              <w:t xml:space="preserve"> </w:t>
            </w:r>
          </w:p>
        </w:tc>
        <w:tc>
          <w:tcPr>
            <w:tcW w:w="1972" w:type="dxa"/>
          </w:tcPr>
          <w:p w:rsidR="00D164E8" w:rsidRDefault="00D164E8" w:rsidP="00B4089C">
            <w:pPr>
              <w:spacing w:before="60" w:after="60"/>
              <w:rPr>
                <w:lang w:eastAsia="da-DK"/>
              </w:rPr>
            </w:pPr>
          </w:p>
        </w:tc>
        <w:tc>
          <w:tcPr>
            <w:tcW w:w="3162" w:type="dxa"/>
          </w:tcPr>
          <w:p w:rsidR="00D164E8" w:rsidRDefault="006F541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Skal afklares med Domstolsst</w:t>
            </w:r>
            <w:r>
              <w:rPr>
                <w:lang w:eastAsia="da-DK"/>
              </w:rPr>
              <w:t>y</w:t>
            </w:r>
            <w:r>
              <w:rPr>
                <w:lang w:eastAsia="da-DK"/>
              </w:rPr>
              <w:t>relsen og KL/KOMBIT</w:t>
            </w:r>
          </w:p>
        </w:tc>
      </w:tr>
      <w:tr w:rsidR="00CA0898" w:rsidTr="00EE012E">
        <w:tc>
          <w:tcPr>
            <w:tcW w:w="4612" w:type="dxa"/>
          </w:tcPr>
          <w:p w:rsidR="00360FEE" w:rsidRDefault="00360FEE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Hvordan sikres at data er klar til paralleldrift, når de ”vasket” i matriklen året før.  Der kan ske ”fejlintroduktion” i mellemtiden. </w:t>
            </w:r>
          </w:p>
          <w:p w:rsidR="00360FEE" w:rsidRDefault="00CA0898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Dette arbejde i ”mellemperioden” skal synligg</w:t>
            </w:r>
            <w:r>
              <w:rPr>
                <w:lang w:eastAsia="da-DK"/>
              </w:rPr>
              <w:t>ø</w:t>
            </w:r>
            <w:r>
              <w:rPr>
                <w:lang w:eastAsia="da-DK"/>
              </w:rPr>
              <w:t xml:space="preserve">res i en arbejdspakke i MU og/eller i datavasken. </w:t>
            </w:r>
          </w:p>
        </w:tc>
        <w:tc>
          <w:tcPr>
            <w:tcW w:w="1972" w:type="dxa"/>
          </w:tcPr>
          <w:p w:rsidR="00CA0898" w:rsidRDefault="00801B5F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 / Datavask</w:t>
            </w:r>
          </w:p>
        </w:tc>
        <w:tc>
          <w:tcPr>
            <w:tcW w:w="3162" w:type="dxa"/>
          </w:tcPr>
          <w:p w:rsidR="00CA0898" w:rsidRDefault="003345D7" w:rsidP="00BA2801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MU </w:t>
            </w:r>
            <w:r w:rsidR="00BA2801">
              <w:rPr>
                <w:lang w:eastAsia="da-DK"/>
              </w:rPr>
              <w:t xml:space="preserve">medtager en beskrivelse af denne opgave i de tre </w:t>
            </w:r>
            <w:proofErr w:type="spellStart"/>
            <w:r w:rsidR="00BA2801">
              <w:rPr>
                <w:lang w:eastAsia="da-DK"/>
              </w:rPr>
              <w:t>datavas</w:t>
            </w:r>
            <w:r w:rsidR="00BA2801">
              <w:rPr>
                <w:lang w:eastAsia="da-DK"/>
              </w:rPr>
              <w:t>k</w:t>
            </w:r>
            <w:r w:rsidR="00BA2801">
              <w:rPr>
                <w:lang w:eastAsia="da-DK"/>
              </w:rPr>
              <w:t>arbejdspakker</w:t>
            </w:r>
            <w:proofErr w:type="spellEnd"/>
            <w:r w:rsidR="00BA2801">
              <w:rPr>
                <w:lang w:eastAsia="da-DK"/>
              </w:rPr>
              <w:t>.</w:t>
            </w:r>
          </w:p>
        </w:tc>
      </w:tr>
      <w:tr w:rsidR="00C07204" w:rsidTr="00EE012E">
        <w:tc>
          <w:tcPr>
            <w:tcW w:w="4612" w:type="dxa"/>
          </w:tcPr>
          <w:p w:rsidR="000C3239" w:rsidRDefault="000C3239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 xml:space="preserve">Der afleveres en liste med BFE numre til ESR og tingbog. </w:t>
            </w:r>
            <w:r w:rsidR="00C07204">
              <w:rPr>
                <w:lang w:eastAsia="da-DK"/>
              </w:rPr>
              <w:t xml:space="preserve">Hvordan ser ”nøgler” ud </w:t>
            </w:r>
            <w:r>
              <w:rPr>
                <w:lang w:eastAsia="da-DK"/>
              </w:rPr>
              <w:t xml:space="preserve">i det udtræk, </w:t>
            </w:r>
            <w:r w:rsidR="00C07204">
              <w:rPr>
                <w:lang w:eastAsia="da-DK"/>
              </w:rPr>
              <w:t>der afleveres til henholdsvis Tingbogen og ESR</w:t>
            </w:r>
            <w:r>
              <w:rPr>
                <w:lang w:eastAsia="da-DK"/>
              </w:rPr>
              <w:t>?</w:t>
            </w:r>
          </w:p>
          <w:p w:rsidR="00C07204" w:rsidRDefault="000C3239" w:rsidP="000C3239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Modtagerne skal godkende</w:t>
            </w:r>
            <w:r w:rsidR="00C07204">
              <w:rPr>
                <w:lang w:eastAsia="da-DK"/>
              </w:rPr>
              <w:t xml:space="preserve"> </w:t>
            </w:r>
            <w:r w:rsidR="006B6D8C">
              <w:rPr>
                <w:lang w:eastAsia="da-DK"/>
              </w:rPr>
              <w:t>formatet</w:t>
            </w:r>
            <w:r>
              <w:rPr>
                <w:lang w:eastAsia="da-DK"/>
              </w:rPr>
              <w:t xml:space="preserve"> herfor</w:t>
            </w:r>
            <w:r w:rsidR="006B6D8C">
              <w:rPr>
                <w:lang w:eastAsia="da-DK"/>
              </w:rPr>
              <w:t>.</w:t>
            </w:r>
          </w:p>
        </w:tc>
        <w:tc>
          <w:tcPr>
            <w:tcW w:w="1972" w:type="dxa"/>
          </w:tcPr>
          <w:p w:rsidR="00C07204" w:rsidRDefault="00DE7EE1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 / Tingbogen / KMD</w:t>
            </w:r>
          </w:p>
        </w:tc>
        <w:tc>
          <w:tcPr>
            <w:tcW w:w="3162" w:type="dxa"/>
          </w:tcPr>
          <w:p w:rsidR="00C07204" w:rsidRDefault="00F01BCA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MU</w:t>
            </w:r>
            <w:r w:rsidR="00840571">
              <w:rPr>
                <w:lang w:eastAsia="da-DK"/>
              </w:rPr>
              <w:t xml:space="preserve"> definerer format og nøgle</w:t>
            </w:r>
          </w:p>
        </w:tc>
      </w:tr>
      <w:tr w:rsidR="00601FF8" w:rsidTr="00EE012E">
        <w:tc>
          <w:tcPr>
            <w:tcW w:w="4612" w:type="dxa"/>
          </w:tcPr>
          <w:p w:rsidR="00601FF8" w:rsidRDefault="00601FF8" w:rsidP="00601FF8">
            <w:pPr>
              <w:rPr>
                <w:lang w:eastAsia="da-DK"/>
              </w:rPr>
            </w:pPr>
            <w:r>
              <w:rPr>
                <w:lang w:eastAsia="da-DK"/>
              </w:rPr>
              <w:t>Der er ikke nogle fast</w:t>
            </w:r>
            <w:r w:rsidR="00BA2801">
              <w:rPr>
                <w:lang w:eastAsia="da-DK"/>
              </w:rPr>
              <w:t>e</w:t>
            </w:r>
            <w:r>
              <w:rPr>
                <w:lang w:eastAsia="da-DK"/>
              </w:rPr>
              <w:t xml:space="preserve"> aftaler om eksterne test</w:t>
            </w:r>
            <w:r w:rsidR="00BA2801">
              <w:rPr>
                <w:lang w:eastAsia="da-DK"/>
              </w:rPr>
              <w:t xml:space="preserve"> </w:t>
            </w:r>
            <w:r w:rsidR="00BA2801">
              <w:rPr>
                <w:lang w:eastAsia="da-DK"/>
              </w:rPr>
              <w:lastRenderedPageBreak/>
              <w:t>(fx med finanssekt</w:t>
            </w:r>
            <w:r w:rsidR="00EE012E">
              <w:rPr>
                <w:lang w:eastAsia="da-DK"/>
              </w:rPr>
              <w:t>o</w:t>
            </w:r>
            <w:r w:rsidR="00BA2801">
              <w:rPr>
                <w:lang w:eastAsia="da-DK"/>
              </w:rPr>
              <w:t>ren)</w:t>
            </w:r>
            <w:r>
              <w:rPr>
                <w:lang w:eastAsia="da-DK"/>
              </w:rPr>
              <w:t>, hvor testdata kommer fra etc. Disse aftale</w:t>
            </w:r>
            <w:r w:rsidR="00EE012E">
              <w:rPr>
                <w:lang w:eastAsia="da-DK"/>
              </w:rPr>
              <w:t>r skal laves.  GD1 er ansvarlig og</w:t>
            </w:r>
            <w:r>
              <w:rPr>
                <w:lang w:eastAsia="da-DK"/>
              </w:rPr>
              <w:t xml:space="preserve"> planlægningsaktivitet skal </w:t>
            </w:r>
            <w:proofErr w:type="spellStart"/>
            <w:r>
              <w:rPr>
                <w:lang w:eastAsia="da-DK"/>
              </w:rPr>
              <w:t>projektliggøres</w:t>
            </w:r>
            <w:proofErr w:type="spellEnd"/>
          </w:p>
          <w:p w:rsidR="00601FF8" w:rsidRDefault="00601FF8" w:rsidP="00B4089C">
            <w:pPr>
              <w:spacing w:before="60" w:after="60"/>
              <w:rPr>
                <w:lang w:eastAsia="da-DK"/>
              </w:rPr>
            </w:pPr>
          </w:p>
        </w:tc>
        <w:tc>
          <w:tcPr>
            <w:tcW w:w="1972" w:type="dxa"/>
          </w:tcPr>
          <w:p w:rsidR="00601FF8" w:rsidRDefault="00601FF8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MU/GD1</w:t>
            </w:r>
          </w:p>
        </w:tc>
        <w:tc>
          <w:tcPr>
            <w:tcW w:w="3162" w:type="dxa"/>
          </w:tcPr>
          <w:p w:rsidR="00601FF8" w:rsidRDefault="00601FF8" w:rsidP="00B4089C">
            <w:pPr>
              <w:spacing w:before="60" w:after="60"/>
              <w:rPr>
                <w:lang w:eastAsia="da-DK"/>
              </w:rPr>
            </w:pPr>
            <w:r>
              <w:rPr>
                <w:lang w:eastAsia="da-DK"/>
              </w:rPr>
              <w:t>Planlægningsaktivitet</w:t>
            </w:r>
            <w:r w:rsidR="00EE012E">
              <w:rPr>
                <w:lang w:eastAsia="da-DK"/>
              </w:rPr>
              <w:t xml:space="preserve"> vedr. ek</w:t>
            </w:r>
            <w:r w:rsidR="00EE012E">
              <w:rPr>
                <w:lang w:eastAsia="da-DK"/>
              </w:rPr>
              <w:t>s</w:t>
            </w:r>
            <w:r w:rsidR="00EE012E">
              <w:rPr>
                <w:lang w:eastAsia="da-DK"/>
              </w:rPr>
              <w:lastRenderedPageBreak/>
              <w:t>terne test</w:t>
            </w:r>
            <w:r>
              <w:rPr>
                <w:lang w:eastAsia="da-DK"/>
              </w:rPr>
              <w:t xml:space="preserve"> skal </w:t>
            </w:r>
            <w:proofErr w:type="spellStart"/>
            <w:r>
              <w:rPr>
                <w:lang w:eastAsia="da-DK"/>
              </w:rPr>
              <w:t>projektliggøres</w:t>
            </w:r>
            <w:proofErr w:type="spellEnd"/>
            <w:r>
              <w:rPr>
                <w:lang w:eastAsia="da-DK"/>
              </w:rPr>
              <w:t xml:space="preserve"> i en arbejdspakke.</w:t>
            </w:r>
          </w:p>
        </w:tc>
      </w:tr>
    </w:tbl>
    <w:p w:rsidR="00842B91" w:rsidRDefault="00842B91" w:rsidP="00B4089C">
      <w:pPr>
        <w:spacing w:after="0"/>
      </w:pPr>
    </w:p>
    <w:p w:rsidR="00601FF8" w:rsidRDefault="00601FF8" w:rsidP="00B4089C">
      <w:pPr>
        <w:spacing w:after="0"/>
      </w:pPr>
    </w:p>
    <w:sectPr w:rsidR="00601FF8" w:rsidSect="00DB132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3E94A" w15:done="0"/>
  <w15:commentEx w15:paraId="7D87D854" w15:paraIdParent="7463E9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75" w:rsidRDefault="00D24175" w:rsidP="00195D2C">
      <w:pPr>
        <w:spacing w:after="0" w:line="240" w:lineRule="auto"/>
      </w:pPr>
      <w:r>
        <w:separator/>
      </w:r>
    </w:p>
  </w:endnote>
  <w:endnote w:type="continuationSeparator" w:id="0">
    <w:p w:rsidR="00D24175" w:rsidRDefault="00D24175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927891"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927891">
          <w:fldChar w:fldCharType="begin"/>
        </w:r>
        <w:r w:rsidR="00927891">
          <w:instrText xml:space="preserve"> NUMPAGES  \* Arabic  \* MERGEFORMAT </w:instrText>
        </w:r>
        <w:r w:rsidR="00927891">
          <w:fldChar w:fldCharType="separate"/>
        </w:r>
        <w:r w:rsidR="00927891">
          <w:rPr>
            <w:noProof/>
          </w:rPr>
          <w:t>4</w:t>
        </w:r>
        <w:r w:rsidR="00927891">
          <w:rPr>
            <w:noProof/>
          </w:rPr>
          <w:fldChar w:fldCharType="end"/>
        </w:r>
      </w:p>
    </w:sdtContent>
  </w:sdt>
  <w:p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r w:rsidR="00927891">
          <w:fldChar w:fldCharType="begin"/>
        </w:r>
        <w:r w:rsidR="00927891">
          <w:instrText xml:space="preserve"> NUMPAGES  \* Arabic  \* MERGEFORMAT </w:instrText>
        </w:r>
        <w:r w:rsidR="00927891">
          <w:fldChar w:fldCharType="separate"/>
        </w:r>
        <w:r w:rsidR="00752ACB">
          <w:rPr>
            <w:noProof/>
          </w:rPr>
          <w:t>3</w:t>
        </w:r>
        <w:r w:rsidR="00927891">
          <w:rPr>
            <w:noProof/>
          </w:rPr>
          <w:fldChar w:fldCharType="end"/>
        </w:r>
      </w:p>
    </w:sdtContent>
  </w:sdt>
  <w:p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75" w:rsidRDefault="00D24175" w:rsidP="00195D2C">
      <w:pPr>
        <w:spacing w:after="0" w:line="240" w:lineRule="auto"/>
      </w:pPr>
      <w:r>
        <w:separator/>
      </w:r>
    </w:p>
  </w:footnote>
  <w:footnote w:type="continuationSeparator" w:id="0">
    <w:p w:rsidR="00D24175" w:rsidRDefault="00D24175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34" w:rsidRDefault="00A20598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Milepæle til brug for replanlægning 3. kvartal 2014"  \* MERGEFORMAT </w:instrText>
    </w:r>
    <w:r>
      <w:rPr>
        <w:kern w:val="28"/>
        <w:sz w:val="16"/>
      </w:rPr>
      <w:fldChar w:fldCharType="separate"/>
    </w:r>
    <w:r w:rsidR="00752ACB">
      <w:rPr>
        <w:kern w:val="28"/>
        <w:sz w:val="16"/>
      </w:rPr>
      <w:t xml:space="preserve">GD1/GD2 - Milepæle til brug for </w:t>
    </w:r>
    <w:proofErr w:type="spellStart"/>
    <w:r w:rsidR="00752ACB">
      <w:rPr>
        <w:kern w:val="28"/>
        <w:sz w:val="16"/>
      </w:rPr>
      <w:t>replanlægning</w:t>
    </w:r>
    <w:proofErr w:type="spellEnd"/>
    <w:r w:rsidR="00752ACB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752ACB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EDE"/>
    <w:multiLevelType w:val="hybridMultilevel"/>
    <w:tmpl w:val="FD4AA8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228"/>
    <w:multiLevelType w:val="hybridMultilevel"/>
    <w:tmpl w:val="2BE092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2AC6095"/>
    <w:multiLevelType w:val="hybridMultilevel"/>
    <w:tmpl w:val="80C0E65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74208"/>
    <w:multiLevelType w:val="hybridMultilevel"/>
    <w:tmpl w:val="6C86BDD2"/>
    <w:lvl w:ilvl="0" w:tplc="DA8A9B0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2323F"/>
    <w:multiLevelType w:val="hybridMultilevel"/>
    <w:tmpl w:val="D6725E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42ED"/>
    <w:multiLevelType w:val="hybridMultilevel"/>
    <w:tmpl w:val="7C623A44"/>
    <w:lvl w:ilvl="0" w:tplc="41B058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E7D40"/>
    <w:multiLevelType w:val="hybridMultilevel"/>
    <w:tmpl w:val="B17EB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5E761E14"/>
    <w:multiLevelType w:val="hybridMultilevel"/>
    <w:tmpl w:val="34D667DC"/>
    <w:lvl w:ilvl="0" w:tplc="1D3622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23"/>
  </w:num>
  <w:num w:numId="8">
    <w:abstractNumId w:val="24"/>
  </w:num>
  <w:num w:numId="9">
    <w:abstractNumId w:val="26"/>
  </w:num>
  <w:num w:numId="10">
    <w:abstractNumId w:val="16"/>
  </w:num>
  <w:num w:numId="11">
    <w:abstractNumId w:val="19"/>
  </w:num>
  <w:num w:numId="12">
    <w:abstractNumId w:val="3"/>
  </w:num>
  <w:num w:numId="13">
    <w:abstractNumId w:val="21"/>
  </w:num>
  <w:num w:numId="14">
    <w:abstractNumId w:val="25"/>
  </w:num>
  <w:num w:numId="15">
    <w:abstractNumId w:val="11"/>
  </w:num>
  <w:num w:numId="16">
    <w:abstractNumId w:val="2"/>
  </w:num>
  <w:num w:numId="17">
    <w:abstractNumId w:val="20"/>
  </w:num>
  <w:num w:numId="18">
    <w:abstractNumId w:val="22"/>
  </w:num>
  <w:num w:numId="19">
    <w:abstractNumId w:val="14"/>
  </w:num>
  <w:num w:numId="20">
    <w:abstractNumId w:val="13"/>
  </w:num>
  <w:num w:numId="21">
    <w:abstractNumId w:val="0"/>
  </w:num>
  <w:num w:numId="22">
    <w:abstractNumId w:val="1"/>
  </w:num>
  <w:num w:numId="23">
    <w:abstractNumId w:val="7"/>
  </w:num>
  <w:num w:numId="24">
    <w:abstractNumId w:val="7"/>
  </w:num>
  <w:num w:numId="25">
    <w:abstractNumId w:val="9"/>
  </w:num>
  <w:num w:numId="26">
    <w:abstractNumId w:val="6"/>
  </w:num>
  <w:num w:numId="27">
    <w:abstractNumId w:val="17"/>
  </w:num>
  <w:num w:numId="28">
    <w:abstractNumId w:val="12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le X1">
    <w15:presenceInfo w15:providerId="None" w15:userId="Helle X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958"/>
    <w:rsid w:val="00024B83"/>
    <w:rsid w:val="0003280F"/>
    <w:rsid w:val="00033FAA"/>
    <w:rsid w:val="00044F22"/>
    <w:rsid w:val="00050786"/>
    <w:rsid w:val="00053171"/>
    <w:rsid w:val="000539D1"/>
    <w:rsid w:val="0005615B"/>
    <w:rsid w:val="00062EC3"/>
    <w:rsid w:val="00071367"/>
    <w:rsid w:val="00071846"/>
    <w:rsid w:val="00072A68"/>
    <w:rsid w:val="000901AD"/>
    <w:rsid w:val="0009404D"/>
    <w:rsid w:val="000A536D"/>
    <w:rsid w:val="000A5B81"/>
    <w:rsid w:val="000B260F"/>
    <w:rsid w:val="000C3239"/>
    <w:rsid w:val="000D060A"/>
    <w:rsid w:val="000D4B1F"/>
    <w:rsid w:val="000E34F3"/>
    <w:rsid w:val="00110361"/>
    <w:rsid w:val="00112971"/>
    <w:rsid w:val="00114E11"/>
    <w:rsid w:val="00115606"/>
    <w:rsid w:val="001360AD"/>
    <w:rsid w:val="0013695F"/>
    <w:rsid w:val="00137A78"/>
    <w:rsid w:val="001436D7"/>
    <w:rsid w:val="0015142B"/>
    <w:rsid w:val="00152D6D"/>
    <w:rsid w:val="00160F6A"/>
    <w:rsid w:val="00161FDE"/>
    <w:rsid w:val="0017001F"/>
    <w:rsid w:val="00171CC4"/>
    <w:rsid w:val="00172D5C"/>
    <w:rsid w:val="00174F09"/>
    <w:rsid w:val="001756FA"/>
    <w:rsid w:val="001817CF"/>
    <w:rsid w:val="001845FB"/>
    <w:rsid w:val="00184E96"/>
    <w:rsid w:val="00190D8C"/>
    <w:rsid w:val="00194A6D"/>
    <w:rsid w:val="001953C6"/>
    <w:rsid w:val="00195D2C"/>
    <w:rsid w:val="00195E88"/>
    <w:rsid w:val="001A18DC"/>
    <w:rsid w:val="001A2FCF"/>
    <w:rsid w:val="001A4BFC"/>
    <w:rsid w:val="001B3349"/>
    <w:rsid w:val="001C185B"/>
    <w:rsid w:val="001C7D29"/>
    <w:rsid w:val="001D2B38"/>
    <w:rsid w:val="001D325F"/>
    <w:rsid w:val="001D5880"/>
    <w:rsid w:val="001D7D27"/>
    <w:rsid w:val="001E3E93"/>
    <w:rsid w:val="001F06D5"/>
    <w:rsid w:val="001F0FD4"/>
    <w:rsid w:val="001F245B"/>
    <w:rsid w:val="001F4EA2"/>
    <w:rsid w:val="001F5F85"/>
    <w:rsid w:val="002240A1"/>
    <w:rsid w:val="002309D9"/>
    <w:rsid w:val="00230C00"/>
    <w:rsid w:val="00231674"/>
    <w:rsid w:val="00232422"/>
    <w:rsid w:val="002329A0"/>
    <w:rsid w:val="00245E14"/>
    <w:rsid w:val="00262DD2"/>
    <w:rsid w:val="00267916"/>
    <w:rsid w:val="00272DFA"/>
    <w:rsid w:val="002737EB"/>
    <w:rsid w:val="00280692"/>
    <w:rsid w:val="00287AAA"/>
    <w:rsid w:val="00296713"/>
    <w:rsid w:val="00296DA1"/>
    <w:rsid w:val="0029753B"/>
    <w:rsid w:val="002A11E7"/>
    <w:rsid w:val="002A3795"/>
    <w:rsid w:val="002A636A"/>
    <w:rsid w:val="002A641A"/>
    <w:rsid w:val="002A6A04"/>
    <w:rsid w:val="002B5DF0"/>
    <w:rsid w:val="002C30DE"/>
    <w:rsid w:val="002D2139"/>
    <w:rsid w:val="002E1935"/>
    <w:rsid w:val="002E54CB"/>
    <w:rsid w:val="002E64F9"/>
    <w:rsid w:val="002E6BD5"/>
    <w:rsid w:val="002E7F27"/>
    <w:rsid w:val="002F042C"/>
    <w:rsid w:val="002F406F"/>
    <w:rsid w:val="002F7483"/>
    <w:rsid w:val="00313C55"/>
    <w:rsid w:val="003153FF"/>
    <w:rsid w:val="00315E10"/>
    <w:rsid w:val="00316926"/>
    <w:rsid w:val="003345D7"/>
    <w:rsid w:val="00352973"/>
    <w:rsid w:val="00354F6E"/>
    <w:rsid w:val="00360FEE"/>
    <w:rsid w:val="0036504E"/>
    <w:rsid w:val="00372D4C"/>
    <w:rsid w:val="003747F6"/>
    <w:rsid w:val="003750C7"/>
    <w:rsid w:val="00376B4E"/>
    <w:rsid w:val="00377CFB"/>
    <w:rsid w:val="00383A04"/>
    <w:rsid w:val="00385EDC"/>
    <w:rsid w:val="003879FD"/>
    <w:rsid w:val="003964B3"/>
    <w:rsid w:val="003A1186"/>
    <w:rsid w:val="003A26DD"/>
    <w:rsid w:val="003A4E42"/>
    <w:rsid w:val="003A64A3"/>
    <w:rsid w:val="003B13E9"/>
    <w:rsid w:val="003B30A3"/>
    <w:rsid w:val="003C1F43"/>
    <w:rsid w:val="003D01E4"/>
    <w:rsid w:val="003E4935"/>
    <w:rsid w:val="00400D55"/>
    <w:rsid w:val="004018F1"/>
    <w:rsid w:val="004033A4"/>
    <w:rsid w:val="004039CA"/>
    <w:rsid w:val="00415D27"/>
    <w:rsid w:val="00423D59"/>
    <w:rsid w:val="00426E5E"/>
    <w:rsid w:val="004309C4"/>
    <w:rsid w:val="00437755"/>
    <w:rsid w:val="00440D66"/>
    <w:rsid w:val="004410DD"/>
    <w:rsid w:val="00443F77"/>
    <w:rsid w:val="004509BB"/>
    <w:rsid w:val="00453A96"/>
    <w:rsid w:val="00465C9A"/>
    <w:rsid w:val="0046660C"/>
    <w:rsid w:val="0047326B"/>
    <w:rsid w:val="0047587C"/>
    <w:rsid w:val="004812FA"/>
    <w:rsid w:val="004823BB"/>
    <w:rsid w:val="00482A47"/>
    <w:rsid w:val="00483CA4"/>
    <w:rsid w:val="0048463A"/>
    <w:rsid w:val="004A0201"/>
    <w:rsid w:val="004A3666"/>
    <w:rsid w:val="004B5430"/>
    <w:rsid w:val="004B59D1"/>
    <w:rsid w:val="004C05F3"/>
    <w:rsid w:val="004C12D1"/>
    <w:rsid w:val="004C196D"/>
    <w:rsid w:val="004C33C2"/>
    <w:rsid w:val="004C6306"/>
    <w:rsid w:val="004D1D36"/>
    <w:rsid w:val="004D3D2A"/>
    <w:rsid w:val="004E27CD"/>
    <w:rsid w:val="004E39AC"/>
    <w:rsid w:val="004E7516"/>
    <w:rsid w:val="004E75CF"/>
    <w:rsid w:val="004F2657"/>
    <w:rsid w:val="004F51A7"/>
    <w:rsid w:val="00500446"/>
    <w:rsid w:val="0050384D"/>
    <w:rsid w:val="00504DBA"/>
    <w:rsid w:val="00507359"/>
    <w:rsid w:val="0050762B"/>
    <w:rsid w:val="00520D72"/>
    <w:rsid w:val="005253F1"/>
    <w:rsid w:val="00526736"/>
    <w:rsid w:val="00533202"/>
    <w:rsid w:val="0053460F"/>
    <w:rsid w:val="00534A0F"/>
    <w:rsid w:val="0054097D"/>
    <w:rsid w:val="00540A7F"/>
    <w:rsid w:val="005410F1"/>
    <w:rsid w:val="00544BCB"/>
    <w:rsid w:val="00553090"/>
    <w:rsid w:val="0056132C"/>
    <w:rsid w:val="00572899"/>
    <w:rsid w:val="00575264"/>
    <w:rsid w:val="00580F06"/>
    <w:rsid w:val="00584F2E"/>
    <w:rsid w:val="00593D4E"/>
    <w:rsid w:val="00595D71"/>
    <w:rsid w:val="0059768A"/>
    <w:rsid w:val="005A5819"/>
    <w:rsid w:val="005B02E9"/>
    <w:rsid w:val="005B2F36"/>
    <w:rsid w:val="005B56E1"/>
    <w:rsid w:val="005B7457"/>
    <w:rsid w:val="005C286C"/>
    <w:rsid w:val="005C4AD5"/>
    <w:rsid w:val="005C61A2"/>
    <w:rsid w:val="005C6593"/>
    <w:rsid w:val="005D1C5A"/>
    <w:rsid w:val="005D4675"/>
    <w:rsid w:val="005E2F36"/>
    <w:rsid w:val="005E47C3"/>
    <w:rsid w:val="005E7E01"/>
    <w:rsid w:val="00601FF8"/>
    <w:rsid w:val="00625CB8"/>
    <w:rsid w:val="00626B0A"/>
    <w:rsid w:val="00633579"/>
    <w:rsid w:val="00643523"/>
    <w:rsid w:val="00645B43"/>
    <w:rsid w:val="00650BCD"/>
    <w:rsid w:val="006534A3"/>
    <w:rsid w:val="0066531A"/>
    <w:rsid w:val="00666007"/>
    <w:rsid w:val="006677CC"/>
    <w:rsid w:val="00667BF9"/>
    <w:rsid w:val="00670933"/>
    <w:rsid w:val="00677A8E"/>
    <w:rsid w:val="00681CC6"/>
    <w:rsid w:val="00686BFF"/>
    <w:rsid w:val="0068780E"/>
    <w:rsid w:val="00692676"/>
    <w:rsid w:val="00692FB1"/>
    <w:rsid w:val="00696453"/>
    <w:rsid w:val="006A1C73"/>
    <w:rsid w:val="006A2B30"/>
    <w:rsid w:val="006B07F9"/>
    <w:rsid w:val="006B6D8C"/>
    <w:rsid w:val="006C4255"/>
    <w:rsid w:val="006E3D65"/>
    <w:rsid w:val="006F1CBE"/>
    <w:rsid w:val="006F541F"/>
    <w:rsid w:val="006F61C7"/>
    <w:rsid w:val="006F7D4D"/>
    <w:rsid w:val="0070373B"/>
    <w:rsid w:val="007069A2"/>
    <w:rsid w:val="00707E24"/>
    <w:rsid w:val="0071012F"/>
    <w:rsid w:val="0071484D"/>
    <w:rsid w:val="00752ACB"/>
    <w:rsid w:val="00774A07"/>
    <w:rsid w:val="00776FFE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7E6648"/>
    <w:rsid w:val="008008FC"/>
    <w:rsid w:val="00801B5F"/>
    <w:rsid w:val="00802861"/>
    <w:rsid w:val="00803169"/>
    <w:rsid w:val="00804E4E"/>
    <w:rsid w:val="00810153"/>
    <w:rsid w:val="00813AB1"/>
    <w:rsid w:val="00825E9C"/>
    <w:rsid w:val="00826FDE"/>
    <w:rsid w:val="008304BA"/>
    <w:rsid w:val="008312C1"/>
    <w:rsid w:val="00840571"/>
    <w:rsid w:val="00842B91"/>
    <w:rsid w:val="00843EE4"/>
    <w:rsid w:val="008453C2"/>
    <w:rsid w:val="00846C9B"/>
    <w:rsid w:val="008551A8"/>
    <w:rsid w:val="00855F74"/>
    <w:rsid w:val="008623D2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6FB"/>
    <w:rsid w:val="008D5B00"/>
    <w:rsid w:val="008D5E8E"/>
    <w:rsid w:val="008F0EB3"/>
    <w:rsid w:val="008F1755"/>
    <w:rsid w:val="008F7709"/>
    <w:rsid w:val="00904AE5"/>
    <w:rsid w:val="009051EE"/>
    <w:rsid w:val="00905A65"/>
    <w:rsid w:val="009065FC"/>
    <w:rsid w:val="00914147"/>
    <w:rsid w:val="009217A0"/>
    <w:rsid w:val="00922C65"/>
    <w:rsid w:val="00927891"/>
    <w:rsid w:val="00927A6E"/>
    <w:rsid w:val="009304C8"/>
    <w:rsid w:val="0093374B"/>
    <w:rsid w:val="009354C0"/>
    <w:rsid w:val="00940FB1"/>
    <w:rsid w:val="00941AF6"/>
    <w:rsid w:val="009575F8"/>
    <w:rsid w:val="00957908"/>
    <w:rsid w:val="00962D17"/>
    <w:rsid w:val="00974421"/>
    <w:rsid w:val="009759A3"/>
    <w:rsid w:val="00976291"/>
    <w:rsid w:val="00976BA5"/>
    <w:rsid w:val="009A4E52"/>
    <w:rsid w:val="009A5AE5"/>
    <w:rsid w:val="009A5D9D"/>
    <w:rsid w:val="009B57C1"/>
    <w:rsid w:val="009C2826"/>
    <w:rsid w:val="009D2363"/>
    <w:rsid w:val="009D30FD"/>
    <w:rsid w:val="009F5AAB"/>
    <w:rsid w:val="009F7F9A"/>
    <w:rsid w:val="00A00C37"/>
    <w:rsid w:val="00A025F2"/>
    <w:rsid w:val="00A0735E"/>
    <w:rsid w:val="00A154F8"/>
    <w:rsid w:val="00A160E3"/>
    <w:rsid w:val="00A20598"/>
    <w:rsid w:val="00A22862"/>
    <w:rsid w:val="00A22BB7"/>
    <w:rsid w:val="00A24BAE"/>
    <w:rsid w:val="00A35C23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3D"/>
    <w:rsid w:val="00A9715F"/>
    <w:rsid w:val="00AA1F98"/>
    <w:rsid w:val="00AA3183"/>
    <w:rsid w:val="00AA4F44"/>
    <w:rsid w:val="00AA5AA6"/>
    <w:rsid w:val="00AB0EED"/>
    <w:rsid w:val="00AD6324"/>
    <w:rsid w:val="00AE506D"/>
    <w:rsid w:val="00AF291F"/>
    <w:rsid w:val="00B02EAE"/>
    <w:rsid w:val="00B12EDE"/>
    <w:rsid w:val="00B1779F"/>
    <w:rsid w:val="00B20BE0"/>
    <w:rsid w:val="00B32E91"/>
    <w:rsid w:val="00B34CCF"/>
    <w:rsid w:val="00B4089C"/>
    <w:rsid w:val="00B46BF8"/>
    <w:rsid w:val="00B508D7"/>
    <w:rsid w:val="00B626B0"/>
    <w:rsid w:val="00B633E6"/>
    <w:rsid w:val="00B73BF8"/>
    <w:rsid w:val="00B768C2"/>
    <w:rsid w:val="00B8212F"/>
    <w:rsid w:val="00B833C6"/>
    <w:rsid w:val="00B87A9F"/>
    <w:rsid w:val="00B9020C"/>
    <w:rsid w:val="00B907CA"/>
    <w:rsid w:val="00B9505A"/>
    <w:rsid w:val="00BA1686"/>
    <w:rsid w:val="00BA2801"/>
    <w:rsid w:val="00BA7CF7"/>
    <w:rsid w:val="00BB19BC"/>
    <w:rsid w:val="00BB2BA5"/>
    <w:rsid w:val="00BB5A83"/>
    <w:rsid w:val="00BB5E86"/>
    <w:rsid w:val="00BB7FF7"/>
    <w:rsid w:val="00BC6B24"/>
    <w:rsid w:val="00BD013E"/>
    <w:rsid w:val="00BD2177"/>
    <w:rsid w:val="00BE524C"/>
    <w:rsid w:val="00BF54BE"/>
    <w:rsid w:val="00C00411"/>
    <w:rsid w:val="00C04DC0"/>
    <w:rsid w:val="00C07204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0F08"/>
    <w:rsid w:val="00C544EF"/>
    <w:rsid w:val="00C564E9"/>
    <w:rsid w:val="00C575A0"/>
    <w:rsid w:val="00C612CB"/>
    <w:rsid w:val="00C65A9F"/>
    <w:rsid w:val="00C66B87"/>
    <w:rsid w:val="00C73028"/>
    <w:rsid w:val="00C76B2D"/>
    <w:rsid w:val="00C814F8"/>
    <w:rsid w:val="00C838C9"/>
    <w:rsid w:val="00C85EE8"/>
    <w:rsid w:val="00C9422C"/>
    <w:rsid w:val="00CA0898"/>
    <w:rsid w:val="00CA30BA"/>
    <w:rsid w:val="00CA79D9"/>
    <w:rsid w:val="00CB1718"/>
    <w:rsid w:val="00CB2DE1"/>
    <w:rsid w:val="00CB7187"/>
    <w:rsid w:val="00CC0A0C"/>
    <w:rsid w:val="00CC3312"/>
    <w:rsid w:val="00CC4DC7"/>
    <w:rsid w:val="00CC6C1E"/>
    <w:rsid w:val="00CC7D6D"/>
    <w:rsid w:val="00CD1FA0"/>
    <w:rsid w:val="00CD2DC0"/>
    <w:rsid w:val="00CD3EE8"/>
    <w:rsid w:val="00CD72DF"/>
    <w:rsid w:val="00CE6451"/>
    <w:rsid w:val="00CE6FF9"/>
    <w:rsid w:val="00CF4A76"/>
    <w:rsid w:val="00CF7529"/>
    <w:rsid w:val="00D0707A"/>
    <w:rsid w:val="00D11479"/>
    <w:rsid w:val="00D12426"/>
    <w:rsid w:val="00D127AB"/>
    <w:rsid w:val="00D164E8"/>
    <w:rsid w:val="00D2060B"/>
    <w:rsid w:val="00D24175"/>
    <w:rsid w:val="00D266F1"/>
    <w:rsid w:val="00D40737"/>
    <w:rsid w:val="00D452B7"/>
    <w:rsid w:val="00D57C85"/>
    <w:rsid w:val="00D654C8"/>
    <w:rsid w:val="00D73E78"/>
    <w:rsid w:val="00D7426B"/>
    <w:rsid w:val="00D75577"/>
    <w:rsid w:val="00D77246"/>
    <w:rsid w:val="00D84FA7"/>
    <w:rsid w:val="00D86B17"/>
    <w:rsid w:val="00D86C25"/>
    <w:rsid w:val="00D8742D"/>
    <w:rsid w:val="00D9352E"/>
    <w:rsid w:val="00D97915"/>
    <w:rsid w:val="00DA43D1"/>
    <w:rsid w:val="00DA49B8"/>
    <w:rsid w:val="00DA4DAC"/>
    <w:rsid w:val="00DB1320"/>
    <w:rsid w:val="00DB26BA"/>
    <w:rsid w:val="00DC08C6"/>
    <w:rsid w:val="00DD1E62"/>
    <w:rsid w:val="00DE2231"/>
    <w:rsid w:val="00DE3DE4"/>
    <w:rsid w:val="00DE7EE1"/>
    <w:rsid w:val="00E037F6"/>
    <w:rsid w:val="00E13BBB"/>
    <w:rsid w:val="00E1462B"/>
    <w:rsid w:val="00E24776"/>
    <w:rsid w:val="00E47CE0"/>
    <w:rsid w:val="00E51D61"/>
    <w:rsid w:val="00E64E8F"/>
    <w:rsid w:val="00E73F23"/>
    <w:rsid w:val="00E839A2"/>
    <w:rsid w:val="00E90E0C"/>
    <w:rsid w:val="00E954AB"/>
    <w:rsid w:val="00EA1F76"/>
    <w:rsid w:val="00EA37F5"/>
    <w:rsid w:val="00EB26AC"/>
    <w:rsid w:val="00EB7F95"/>
    <w:rsid w:val="00EC0F4A"/>
    <w:rsid w:val="00EC4B2D"/>
    <w:rsid w:val="00EE012E"/>
    <w:rsid w:val="00EE1447"/>
    <w:rsid w:val="00EE1BE8"/>
    <w:rsid w:val="00EE6232"/>
    <w:rsid w:val="00EE6D20"/>
    <w:rsid w:val="00EF3BF4"/>
    <w:rsid w:val="00EF6E1D"/>
    <w:rsid w:val="00F01BCA"/>
    <w:rsid w:val="00F02EEE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7DF3"/>
    <w:rsid w:val="00F524F2"/>
    <w:rsid w:val="00F569AC"/>
    <w:rsid w:val="00F61D08"/>
    <w:rsid w:val="00F66720"/>
    <w:rsid w:val="00F75CD2"/>
    <w:rsid w:val="00F85A2A"/>
    <w:rsid w:val="00F91293"/>
    <w:rsid w:val="00F92401"/>
    <w:rsid w:val="00F94100"/>
    <w:rsid w:val="00FA2668"/>
    <w:rsid w:val="00FC10C6"/>
    <w:rsid w:val="00FC21B3"/>
    <w:rsid w:val="00FC24AF"/>
    <w:rsid w:val="00FC2D63"/>
    <w:rsid w:val="00FD03BB"/>
    <w:rsid w:val="00FD2824"/>
    <w:rsid w:val="00FD5D8A"/>
    <w:rsid w:val="00FE1841"/>
    <w:rsid w:val="00FE18BC"/>
    <w:rsid w:val="00FF0B6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1B6D-5FAE-41F7-B7AF-44291F0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EB14503D.dotm</Template>
  <TotalTime>4</TotalTime>
  <Pages>4</Pages>
  <Words>900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Milepæle til brug for replanlægning 3. kvartal 2014</vt:lpstr>
    </vt:vector>
  </TitlesOfParts>
  <Company>Statens IT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Milepæle til brug for replanlægning 3. kvartal 2014</dc:title>
  <dc:subject>Grunddataprogrammet under den Fællesoffentlig digitaliseringsstrategi 2012 - 2015</dc:subject>
  <dc:creator>S&amp;D</dc:creator>
  <cp:lastModifiedBy>Asbjørn Lenbroch</cp:lastModifiedBy>
  <cp:revision>3</cp:revision>
  <cp:lastPrinted>2014-09-03T16:48:00Z</cp:lastPrinted>
  <dcterms:created xsi:type="dcterms:W3CDTF">2014-09-05T12:13:00Z</dcterms:created>
  <dcterms:modified xsi:type="dcterms:W3CDTF">2014-09-05T12:14:00Z</dcterms:modified>
</cp:coreProperties>
</file>