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36" w:rsidRDefault="00D97915" w:rsidP="001F5F8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75238B85" wp14:editId="6FAC6653">
            <wp:simplePos x="0" y="0"/>
            <wp:positionH relativeFrom="column">
              <wp:posOffset>5097268</wp:posOffset>
            </wp:positionH>
            <wp:positionV relativeFrom="paragraph">
              <wp:posOffset>-607003</wp:posOffset>
            </wp:positionV>
            <wp:extent cx="961200" cy="874800"/>
            <wp:effectExtent l="0" t="0" r="0" b="1905"/>
            <wp:wrapNone/>
            <wp:docPr id="10" name="Billede 10" descr="GD2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GD2_Logo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43DE731E" wp14:editId="47F30E34">
            <wp:simplePos x="0" y="0"/>
            <wp:positionH relativeFrom="column">
              <wp:posOffset>-4606</wp:posOffset>
            </wp:positionH>
            <wp:positionV relativeFrom="paragraph">
              <wp:posOffset>-627475</wp:posOffset>
            </wp:positionV>
            <wp:extent cx="1249200" cy="820800"/>
            <wp:effectExtent l="0" t="0" r="8255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D36" w:rsidRDefault="00D97915" w:rsidP="001F5F85">
      <w:pPr>
        <w:spacing w:after="0" w:line="24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4C598" wp14:editId="64CD36DA">
                <wp:simplePos x="0" y="0"/>
                <wp:positionH relativeFrom="column">
                  <wp:posOffset>4411468</wp:posOffset>
                </wp:positionH>
                <wp:positionV relativeFrom="paragraph">
                  <wp:posOffset>79432</wp:posOffset>
                </wp:positionV>
                <wp:extent cx="1819275" cy="314325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F1A" w:rsidRPr="007A5515" w:rsidRDefault="00CB7F1A" w:rsidP="004D1D36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Adresseprogrammet (GD2)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26" style="position:absolute;margin-left:347.35pt;margin-top:6.25pt;width:143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8eQIAADkFAAAOAAAAZHJzL2Uyb0RvYy54bWysVMlu2zAQvRfoPxC8N7Icu0mEyIGRIEWB&#10;IA2SFDnTFGkJ5dYhbcv9+g5JWdmKHor6IA9nebPwDc8veq3IVoDvrKlpeTShRBhum86sa/r98frT&#10;KSU+MNMwZY2o6V54erH4+OF85yoxta1VjQCCIMZXO1fTNgRXFYXnrdDMH1knDBqlBc0CHmFdNMB2&#10;iK5VMZ1MPhc7C40Dy4X3qL3KRrpI+FIKHr5J6UUgqqZYW0hfSN9V/BaLc1atgbm240MZ7B+q0Kwz&#10;mHSEumKBkQ1076B0x8F6K8MRt7qwUnZcpB6wm3LyppuHljmResHheDeOyf8/WH67vQPSNXh3JSWG&#10;abyje/EDb2wtFEEdDmjnfIV+D+4OhpNHMXbbS9DxH/sgfRrqfhyq6APhqCxPy7PpyZwSjrbjcnY8&#10;nUfQ4jnagQ9fhNUkCjUFvLQ0S7a98SG7HlxiMmOvO6VQzyplXikQM2qKWHAuMUlhr0T2vhcSe8Wi&#10;pilBYpm4VEC2DPnBOBcmlNnUskZk9XyCv6HkMSI1oAwCRmSJBY3YA0Bk8Hvs3M7gH0NFIukYPPlb&#10;YTl4jEiZrQljsO6MhT8BKOxqyJz9D0PKo4lTCv2qR5cormyzR1KAzdviHb/u8GZumA93DHA9cJFw&#10;5dHaWvhFyQ7Xp6b+54aBoER9NcjPs3I2i/uWDrP5yRQP8NKyemkxG31p8QaQgpgtidE/qIMoweon&#10;3PRlzIomZjjmrikPcDhchrzW+FZwsVwmN9wxx8KNeXA8gseBRSY99k8M3EC3gES9tYdVY9Ub1mXf&#10;GGnschOs7BIln+c0jBL3M3FieEviA/DynLyeX7zFbwAAAP//AwBQSwMEFAAGAAgAAAAhANiOVPze&#10;AAAACQEAAA8AAABkcnMvZG93bnJldi54bWxMj0FPg0AQhe8m/ofNmHizS0mtLbI0pKkmPVpMjLeF&#10;HYGWnSXsltJ/73iyx8n38t436WaynRhx8K0jBfNZBAKpcqalWsFn8fa0AuGDJqM7R6jgih422f1d&#10;qhPjLvSB4yHUgkvIJ1pBE0KfSOmrBq32M9cjMftxg9WBz6GWZtAXLredjKNoKa1uiRca3eO2wep0&#10;OFsFvhz3xbXPv47fvirzHdlisX9X6vFhyl9BBJzCfxj+9FkdMnYq3ZmMF52C5XrxwlEG8TMIDqxX&#10;8xhEySSOQGapvP0g+wUAAP//AwBQSwECLQAUAAYACAAAACEAtoM4kv4AAADhAQAAEwAAAAAAAAAA&#10;AAAAAAAAAAAAW0NvbnRlbnRfVHlwZXNdLnhtbFBLAQItABQABgAIAAAAIQA4/SH/1gAAAJQBAAAL&#10;AAAAAAAAAAAAAAAAAC8BAABfcmVscy8ucmVsc1BLAQItABQABgAIAAAAIQCrYgN8eQIAADkFAAAO&#10;AAAAAAAAAAAAAAAAAC4CAABkcnMvZTJvRG9jLnhtbFBLAQItABQABgAIAAAAIQDYjlT83gAAAAkB&#10;AAAPAAAAAAAAAAAAAAAAANMEAABkcnMvZG93bnJldi54bWxQSwUGAAAAAAQABADzAAAA3gUAAAAA&#10;" filled="f" stroked="f" strokeweight="2pt">
                <v:textbox>
                  <w:txbxContent>
                    <w:p w:rsidR="00CB7F1A" w:rsidRPr="007A5515" w:rsidRDefault="00CB7F1A" w:rsidP="004D1D36">
                      <w:pPr>
                        <w:jc w:val="right"/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Adresseprogrammet (GD2)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BE32D8" wp14:editId="2EB166A8">
                <wp:simplePos x="0" y="0"/>
                <wp:positionH relativeFrom="column">
                  <wp:posOffset>-92293</wp:posOffset>
                </wp:positionH>
                <wp:positionV relativeFrom="paragraph">
                  <wp:posOffset>123155</wp:posOffset>
                </wp:positionV>
                <wp:extent cx="2299335" cy="326965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32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F1A" w:rsidRPr="007A5515" w:rsidRDefault="00CB7F1A" w:rsidP="004D1D36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Ejendomsdataprogrammet (GD1)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7" style="position:absolute;margin-left:-7.25pt;margin-top:9.7pt;width:181.05pt;height:2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iregIAAD4FAAAOAAAAZHJzL2Uyb0RvYy54bWysVEtPGzEQvlfqf7B8L5sHAbLKBkUgqkqI&#10;IqDi7Hjt7Kp+dewkm/76ju3NQqHqoWoOG8/rm4e/8eKy04rsBPjWmoqOT0aUCMNt3ZpNRb893Xy6&#10;oMQHZmqmrBEVPQhPL5cfPyz2rhQT21hVCyAIYny5dxVtQnBlUXjeCM38iXXCoFFa0CygCJuiBrZH&#10;dK2KyWh0Vuwt1A4sF96j9job6TLhSyl4+CqlF4GoimJtIX0hfdfxWywXrNwAc03L+zLYP1ShWWsw&#10;6QB1zQIjW2jfQemWg/VWhhNudWGlbLlIPWA349Gbbh4b5kTqBYfj3TAm//9g+d3uHkhbV/ScEsM0&#10;XtGD+I4XthGKnMfx7J0v0evR3UMveTzGXjsJOv5jF6RLIz0MIxVdIByVk8l8Pp3OKOFom07O5mez&#10;CFq8RDvw4bOwmsRDRQGvLE2S7W59yK5Hl5jM2JtWKdSzUpnfFIgZNUUsOJeYTuGgRPZ+EBI7jUWl&#10;BIlj4koB2TFkB+NcmDDOpobVIqtnI/z1JQ8RqQFlEDAiSyxowO4BIn/fY+d2ev8YKhJFh+DR3wrL&#10;wUNEymxNGIJ1ayz8CUBhV33m7H8cUh5NnFLo1l1iQfKMmrWtD8gMsHllvOM3LV7QLfPhngHuCG4T&#10;7j1aGws/KdnjDlXU/9gyEJSoLwZJOh+fnsalS8Lp7HyCAry2rF9bzFZfWbyIMb4Yjqdj9A/qeJRg&#10;9TOu+ypmRRMzHHNXlAc4Clch7zY+GFysVskNF82xcGseHY/gcW6RUE/dMwPXsy4gX+/scd9Y+YZ8&#10;2TdGGrvaBivbxMyXOfUTxSVN1OgflPgKvJaT18uzt/wFAAD//wMAUEsDBBQABgAIAAAAIQA7+TbC&#10;3wAAAAkBAAAPAAAAZHJzL2Rvd25yZXYueG1sTI9BT4NAEIXvJv0Pm2nirV2q2FpkaYhRkx4tJsbb&#10;wo5Ay84Sdkvpv3c86XHyvrz3TbqbbCdGHHzrSMFqGYFAqpxpqVbwUbwuHkH4oMnozhEquKKHXTa7&#10;SXVi3IXecTyEWnAJ+UQraELoEyl91aDVful6JM6+3WB14HOopRn0hcttJ++iaC2tbokXGt3jc4PV&#10;6XC2Cnw57otrn38ev3xV5i9ki3j/ptTtfMqfQAScwh8Mv/qsDhk7le5MxotOwWIVPzDKwTYGwcB9&#10;vFmDKBVsoi3ILJX/P8h+AAAA//8DAFBLAQItABQABgAIAAAAIQC2gziS/gAAAOEBAAATAAAAAAAA&#10;AAAAAAAAAAAAAABbQ29udGVudF9UeXBlc10ueG1sUEsBAi0AFAAGAAgAAAAhADj9If/WAAAAlAEA&#10;AAsAAAAAAAAAAAAAAAAALwEAAF9yZWxzLy5yZWxzUEsBAi0AFAAGAAgAAAAhAMDT2Kt6AgAAPgUA&#10;AA4AAAAAAAAAAAAAAAAALgIAAGRycy9lMm9Eb2MueG1sUEsBAi0AFAAGAAgAAAAhADv5NsLfAAAA&#10;CQEAAA8AAAAAAAAAAAAAAAAA1AQAAGRycy9kb3ducmV2LnhtbFBLBQYAAAAABAAEAPMAAADgBQAA&#10;AAA=&#10;" filled="f" stroked="f" strokeweight="2pt">
                <v:textbox>
                  <w:txbxContent>
                    <w:p w:rsidR="00CB7F1A" w:rsidRPr="007A5515" w:rsidRDefault="00CB7F1A" w:rsidP="004D1D36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39966"/>
                          <w:sz w:val="20"/>
                          <w:szCs w:val="20"/>
                        </w:rPr>
                        <w:t>Ejendomsdataprogrammet (GD1)</w:t>
                      </w:r>
                    </w:p>
                  </w:txbxContent>
                </v:textbox>
              </v:rect>
            </w:pict>
          </mc:Fallback>
        </mc:AlternateContent>
      </w:r>
    </w:p>
    <w:p w:rsidR="004D1D36" w:rsidRDefault="004D1D36" w:rsidP="001F5F85">
      <w:pPr>
        <w:spacing w:after="0" w:line="240" w:lineRule="auto"/>
      </w:pPr>
    </w:p>
    <w:p w:rsidR="004D1D36" w:rsidRDefault="004D1D36" w:rsidP="004D1D36">
      <w:pPr>
        <w:spacing w:after="0" w:line="240" w:lineRule="auto"/>
        <w:jc w:val="right"/>
      </w:pPr>
    </w:p>
    <w:p w:rsidR="00826FDE" w:rsidRDefault="00826FDE" w:rsidP="004D1D36">
      <w:pPr>
        <w:spacing w:after="0" w:line="240" w:lineRule="auto"/>
        <w:jc w:val="right"/>
      </w:pPr>
    </w:p>
    <w:p w:rsidR="00826FDE" w:rsidRDefault="00826FDE" w:rsidP="004D1D36">
      <w:pPr>
        <w:spacing w:after="0" w:line="240" w:lineRule="auto"/>
        <w:jc w:val="right"/>
      </w:pPr>
    </w:p>
    <w:p w:rsidR="004D1D36" w:rsidRDefault="003D298E" w:rsidP="004D1D36">
      <w:pPr>
        <w:spacing w:after="0" w:line="240" w:lineRule="auto"/>
        <w:jc w:val="right"/>
      </w:pPr>
      <w:r>
        <w:t>18</w:t>
      </w:r>
      <w:r w:rsidR="008008FC">
        <w:t xml:space="preserve">. </w:t>
      </w:r>
      <w:r w:rsidR="00A65D96">
        <w:t>september</w:t>
      </w:r>
      <w:r w:rsidR="004D1D36" w:rsidRPr="00A5663C">
        <w:t xml:space="preserve"> 201</w:t>
      </w:r>
      <w:r w:rsidR="00C150FF" w:rsidRPr="00A5663C">
        <w:t>4</w:t>
      </w:r>
    </w:p>
    <w:p w:rsidR="00842B91" w:rsidRDefault="00842B91" w:rsidP="001E3E93">
      <w:pPr>
        <w:spacing w:after="0" w:line="240" w:lineRule="auto"/>
        <w:jc w:val="center"/>
      </w:pPr>
    </w:p>
    <w:p w:rsidR="0043543C" w:rsidRDefault="0043543C" w:rsidP="0043543C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"Replanlægning - Møde med &lt;projektnavn&gt;"  \* MERGEFORMAT </w:instrText>
      </w:r>
      <w:r>
        <w:rPr>
          <w:sz w:val="40"/>
          <w:szCs w:val="40"/>
        </w:rPr>
        <w:fldChar w:fldCharType="separate"/>
      </w:r>
      <w:proofErr w:type="spellStart"/>
      <w:r>
        <w:rPr>
          <w:sz w:val="40"/>
          <w:szCs w:val="40"/>
        </w:rPr>
        <w:t>Replanlægning</w:t>
      </w:r>
      <w:proofErr w:type="spellEnd"/>
      <w:r>
        <w:rPr>
          <w:sz w:val="40"/>
          <w:szCs w:val="40"/>
        </w:rPr>
        <w:t xml:space="preserve"> - Møde med </w:t>
      </w:r>
      <w:r>
        <w:rPr>
          <w:sz w:val="40"/>
          <w:szCs w:val="40"/>
        </w:rPr>
        <w:fldChar w:fldCharType="end"/>
      </w:r>
      <w:r w:rsidRPr="0043543C">
        <w:rPr>
          <w:sz w:val="40"/>
          <w:szCs w:val="40"/>
        </w:rPr>
        <w:t xml:space="preserve"> </w:t>
      </w:r>
      <w:r>
        <w:rPr>
          <w:sz w:val="40"/>
          <w:szCs w:val="40"/>
        </w:rPr>
        <w:t>Delprogram GD7</w:t>
      </w:r>
    </w:p>
    <w:p w:rsidR="0043543C" w:rsidRDefault="0043543C" w:rsidP="0043543C">
      <w:pPr>
        <w:pStyle w:val="Overskrift2"/>
      </w:pPr>
      <w:r>
        <w:t>Stamdata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6409"/>
      </w:tblGrid>
      <w:tr w:rsidR="0043543C" w:rsidRPr="00666007" w:rsidTr="00E72984">
        <w:tc>
          <w:tcPr>
            <w:tcW w:w="1384" w:type="dxa"/>
          </w:tcPr>
          <w:p w:rsidR="0043543C" w:rsidRPr="00666007" w:rsidRDefault="0043543C" w:rsidP="00E72984">
            <w:pPr>
              <w:spacing w:after="120"/>
            </w:pPr>
            <w:r>
              <w:t>Formål:</w:t>
            </w:r>
          </w:p>
        </w:tc>
        <w:tc>
          <w:tcPr>
            <w:tcW w:w="8394" w:type="dxa"/>
            <w:gridSpan w:val="2"/>
          </w:tcPr>
          <w:p w:rsidR="0043543C" w:rsidRPr="00666007" w:rsidRDefault="0043543C" w:rsidP="00E72984">
            <w:pPr>
              <w:spacing w:after="120"/>
            </w:pPr>
            <w:r>
              <w:t>Afstemning af de projekt- og tidsmæssige afhængigheder mellem projektet og delprogram GD1/GD2 – herunder hovedmilepæle og arbejdspakker.</w:t>
            </w:r>
            <w:r>
              <w:br/>
              <w:t>Indsamling af eventuelle problemstillinger, som skal/bør medtages i replanlægningen.</w:t>
            </w:r>
          </w:p>
        </w:tc>
      </w:tr>
      <w:tr w:rsidR="0043543C" w:rsidRPr="00666007" w:rsidTr="00E72984">
        <w:tc>
          <w:tcPr>
            <w:tcW w:w="1384" w:type="dxa"/>
          </w:tcPr>
          <w:p w:rsidR="0043543C" w:rsidRDefault="0043543C" w:rsidP="00E72984">
            <w:pPr>
              <w:spacing w:after="120"/>
            </w:pPr>
            <w:r>
              <w:t>Agenda:</w:t>
            </w:r>
          </w:p>
        </w:tc>
        <w:tc>
          <w:tcPr>
            <w:tcW w:w="8394" w:type="dxa"/>
            <w:gridSpan w:val="2"/>
          </w:tcPr>
          <w:p w:rsidR="0043543C" w:rsidRPr="00666007" w:rsidRDefault="0043543C" w:rsidP="0043543C">
            <w:pPr>
              <w:pStyle w:val="Listeafsnit"/>
              <w:spacing w:after="120"/>
              <w:ind w:left="360"/>
            </w:pPr>
            <w:bookmarkStart w:id="0" w:name="_GoBack"/>
            <w:bookmarkEnd w:id="0"/>
          </w:p>
        </w:tc>
      </w:tr>
      <w:tr w:rsidR="0043543C" w:rsidRPr="00666007" w:rsidTr="00E72984">
        <w:tc>
          <w:tcPr>
            <w:tcW w:w="1384" w:type="dxa"/>
          </w:tcPr>
          <w:p w:rsidR="0043543C" w:rsidRPr="00666007" w:rsidRDefault="0043543C" w:rsidP="00E72984">
            <w:pPr>
              <w:spacing w:after="120"/>
            </w:pPr>
            <w:r>
              <w:t>Tid og sted:</w:t>
            </w:r>
          </w:p>
        </w:tc>
        <w:tc>
          <w:tcPr>
            <w:tcW w:w="8394" w:type="dxa"/>
            <w:gridSpan w:val="2"/>
          </w:tcPr>
          <w:p w:rsidR="0043543C" w:rsidRPr="00666007" w:rsidRDefault="0043543C" w:rsidP="00F23555">
            <w:pPr>
              <w:spacing w:after="120"/>
            </w:pPr>
            <w:r>
              <w:t xml:space="preserve">MBBL </w:t>
            </w:r>
            <w:r w:rsidR="00F23555">
              <w:t>5. september  fra 9:00</w:t>
            </w:r>
            <w:r>
              <w:t xml:space="preserve"> til </w:t>
            </w:r>
            <w:r w:rsidR="00F23555">
              <w:t>12:00</w:t>
            </w:r>
          </w:p>
        </w:tc>
      </w:tr>
      <w:tr w:rsidR="00846FDD" w:rsidRPr="00EB6E70" w:rsidTr="00E72984">
        <w:tc>
          <w:tcPr>
            <w:tcW w:w="1384" w:type="dxa"/>
          </w:tcPr>
          <w:p w:rsidR="00846FDD" w:rsidRPr="00666007" w:rsidRDefault="00846FDD" w:rsidP="00FE2CA6">
            <w:pPr>
              <w:spacing w:after="60"/>
            </w:pPr>
            <w:r>
              <w:t>Deltagere:</w:t>
            </w:r>
          </w:p>
        </w:tc>
        <w:tc>
          <w:tcPr>
            <w:tcW w:w="1985" w:type="dxa"/>
          </w:tcPr>
          <w:p w:rsidR="00846FDD" w:rsidRPr="00666007" w:rsidRDefault="00846FDD" w:rsidP="00FE2CA6">
            <w:pPr>
              <w:spacing w:after="60"/>
            </w:pPr>
            <w:r>
              <w:t>Projektet:</w:t>
            </w:r>
          </w:p>
        </w:tc>
        <w:tc>
          <w:tcPr>
            <w:tcW w:w="6409" w:type="dxa"/>
          </w:tcPr>
          <w:p w:rsidR="00846FDD" w:rsidRPr="00EB6E70" w:rsidRDefault="00846FDD" w:rsidP="00FE2CA6">
            <w:pPr>
              <w:spacing w:after="60"/>
            </w:pPr>
            <w:r w:rsidRPr="00EB6E70">
              <w:t>David Graff, Leif Hernø, Jacob</w:t>
            </w:r>
            <w:r w:rsidR="007F3F7B">
              <w:t xml:space="preserve"> Egelykke</w:t>
            </w:r>
            <w:r w:rsidRPr="00EB6E70">
              <w:t xml:space="preserve"> Rasch</w:t>
            </w:r>
          </w:p>
        </w:tc>
      </w:tr>
      <w:tr w:rsidR="00846FDD" w:rsidRPr="00666007" w:rsidTr="00E72984">
        <w:tc>
          <w:tcPr>
            <w:tcW w:w="1384" w:type="dxa"/>
          </w:tcPr>
          <w:p w:rsidR="00846FDD" w:rsidRPr="00EB6E70" w:rsidRDefault="00846FDD" w:rsidP="00FE2CA6">
            <w:pPr>
              <w:spacing w:after="60"/>
            </w:pPr>
          </w:p>
        </w:tc>
        <w:tc>
          <w:tcPr>
            <w:tcW w:w="1985" w:type="dxa"/>
          </w:tcPr>
          <w:p w:rsidR="00846FDD" w:rsidRPr="00666007" w:rsidRDefault="00846FDD" w:rsidP="00FE2CA6">
            <w:pPr>
              <w:spacing w:after="60"/>
            </w:pPr>
            <w:r>
              <w:t>Delprogrammet:</w:t>
            </w:r>
          </w:p>
        </w:tc>
        <w:tc>
          <w:tcPr>
            <w:tcW w:w="6409" w:type="dxa"/>
          </w:tcPr>
          <w:p w:rsidR="00846FDD" w:rsidRPr="00666007" w:rsidRDefault="00846FDD" w:rsidP="00FE2CA6">
            <w:pPr>
              <w:spacing w:after="60"/>
            </w:pPr>
            <w:r>
              <w:t>Peter Lindbo Larsen, Morten Lind, Michael Michaelsen, Tanja Haagh Jensen, Asbjørn Lenbroch</w:t>
            </w:r>
          </w:p>
        </w:tc>
      </w:tr>
      <w:tr w:rsidR="00846FDD" w:rsidRPr="00666007" w:rsidTr="00E72984">
        <w:tc>
          <w:tcPr>
            <w:tcW w:w="1384" w:type="dxa"/>
          </w:tcPr>
          <w:p w:rsidR="00846FDD" w:rsidRDefault="00846FDD" w:rsidP="00FE2CA6">
            <w:pPr>
              <w:spacing w:after="60"/>
            </w:pPr>
          </w:p>
        </w:tc>
        <w:tc>
          <w:tcPr>
            <w:tcW w:w="1985" w:type="dxa"/>
          </w:tcPr>
          <w:p w:rsidR="00846FDD" w:rsidRPr="00666007" w:rsidRDefault="00846FDD" w:rsidP="00FE2CA6">
            <w:pPr>
              <w:spacing w:after="60"/>
            </w:pPr>
            <w:r>
              <w:t>Strand &amp; Donslund:</w:t>
            </w:r>
          </w:p>
        </w:tc>
        <w:tc>
          <w:tcPr>
            <w:tcW w:w="6409" w:type="dxa"/>
          </w:tcPr>
          <w:p w:rsidR="00846FDD" w:rsidRPr="00666007" w:rsidRDefault="00846FDD" w:rsidP="00FE2CA6">
            <w:pPr>
              <w:spacing w:after="60"/>
            </w:pPr>
            <w:r>
              <w:t>Helle Torp Eklund</w:t>
            </w:r>
            <w:r>
              <w:br/>
              <w:t>Klaus Hansen</w:t>
            </w:r>
          </w:p>
        </w:tc>
      </w:tr>
    </w:tbl>
    <w:p w:rsidR="006F61C7" w:rsidRPr="004C12D1" w:rsidRDefault="00280734" w:rsidP="006F61C7">
      <w:pPr>
        <w:pStyle w:val="Overskrift2"/>
        <w:spacing w:before="360"/>
        <w:rPr>
          <w:b/>
        </w:rPr>
      </w:pPr>
      <w:r>
        <w:rPr>
          <w:b/>
        </w:rPr>
        <w:t>Agenda</w:t>
      </w:r>
    </w:p>
    <w:p w:rsidR="00AA1F98" w:rsidRDefault="006F61C7" w:rsidP="00FE1841">
      <w:pPr>
        <w:pStyle w:val="Listeafsnit"/>
        <w:numPr>
          <w:ilvl w:val="0"/>
          <w:numId w:val="22"/>
        </w:numPr>
        <w:spacing w:before="60" w:after="0"/>
        <w:ind w:left="714" w:hanging="357"/>
        <w:contextualSpacing w:val="0"/>
      </w:pPr>
      <w:r w:rsidRPr="006F61C7">
        <w:rPr>
          <w:b/>
        </w:rPr>
        <w:t>Projektets overordnede status.</w:t>
      </w:r>
      <w:r w:rsidRPr="006F61C7">
        <w:rPr>
          <w:b/>
        </w:rPr>
        <w:br/>
      </w:r>
      <w:r w:rsidR="00DB4412">
        <w:t xml:space="preserve">Udviklingsplaner for </w:t>
      </w:r>
      <w:r w:rsidR="009E0D9D">
        <w:t>Datafordeler og Beskedfordeler og disses</w:t>
      </w:r>
      <w:r w:rsidR="00DB4412">
        <w:t xml:space="preserve"> sammenhæng med GD1/GD2.</w:t>
      </w:r>
      <w:r w:rsidR="009E0D9D">
        <w:br/>
        <w:t>Referenceimplementeringer – erfaringer herfra og formidling af dette til GD1/GD2.</w:t>
      </w:r>
    </w:p>
    <w:p w:rsidR="009E0D9D" w:rsidRPr="009E0D9D" w:rsidRDefault="009E0D9D" w:rsidP="009E0D9D">
      <w:pPr>
        <w:pStyle w:val="Listeafsnit"/>
        <w:numPr>
          <w:ilvl w:val="0"/>
          <w:numId w:val="22"/>
        </w:numPr>
        <w:spacing w:before="60" w:after="0"/>
        <w:ind w:left="714" w:hanging="357"/>
        <w:contextualSpacing w:val="0"/>
      </w:pPr>
      <w:r w:rsidRPr="00621C1A">
        <w:rPr>
          <w:b/>
        </w:rPr>
        <w:t>Forventningsafstemning – SLA på QA-leverancer mv.</w:t>
      </w:r>
      <w:r w:rsidRPr="00621C1A">
        <w:rPr>
          <w:b/>
        </w:rPr>
        <w:br/>
      </w:r>
      <w:r>
        <w:t>- Overførsel af datamodeller og data til Datafordeler.</w:t>
      </w:r>
      <w:r>
        <w:br/>
        <w:t>- Specifikation, udvikling og test af services på Datafordeler.</w:t>
      </w:r>
      <w:r>
        <w:br/>
        <w:t xml:space="preserve">- Specifikation, udvikling og test af hændelsesbeskeder via Beskedfordeleren. </w:t>
      </w:r>
    </w:p>
    <w:p w:rsidR="009E0D9D" w:rsidRPr="009E0D9D" w:rsidRDefault="009E0D9D" w:rsidP="009E0D9D">
      <w:pPr>
        <w:pStyle w:val="Listeafsnit"/>
        <w:numPr>
          <w:ilvl w:val="0"/>
          <w:numId w:val="22"/>
        </w:numPr>
        <w:spacing w:before="60" w:after="0"/>
        <w:ind w:left="714" w:hanging="357"/>
        <w:contextualSpacing w:val="0"/>
      </w:pPr>
      <w:r w:rsidRPr="00621C1A">
        <w:rPr>
          <w:b/>
        </w:rPr>
        <w:t xml:space="preserve">Forventningsafstemning – Roller </w:t>
      </w:r>
      <w:r w:rsidR="00621C1A">
        <w:rPr>
          <w:b/>
        </w:rPr>
        <w:t>&amp;</w:t>
      </w:r>
      <w:r w:rsidRPr="00621C1A">
        <w:rPr>
          <w:b/>
        </w:rPr>
        <w:t xml:space="preserve"> anssvar.</w:t>
      </w:r>
      <w:r w:rsidR="00B70D90" w:rsidRPr="00621C1A">
        <w:rPr>
          <w:b/>
        </w:rPr>
        <w:br/>
      </w:r>
      <w:r w:rsidR="00B70D90">
        <w:t>Afstemning af hvad der er et GD1/GD2 ansvarsområde hhv. et GD7 ansvarsområde.</w:t>
      </w:r>
      <w:r w:rsidR="00B70D90">
        <w:br/>
        <w:t>Meget er naturligvis et samarbejde, men hovedansvaret må ligge ét sted.</w:t>
      </w:r>
    </w:p>
    <w:p w:rsidR="006F61C7" w:rsidRDefault="009E0D9D" w:rsidP="009E0D9D">
      <w:pPr>
        <w:pStyle w:val="Listeafsnit"/>
        <w:numPr>
          <w:ilvl w:val="0"/>
          <w:numId w:val="22"/>
        </w:numPr>
        <w:spacing w:before="60" w:after="0"/>
        <w:ind w:left="714" w:hanging="357"/>
        <w:contextualSpacing w:val="0"/>
      </w:pPr>
      <w:r w:rsidRPr="009E0D9D">
        <w:rPr>
          <w:b/>
        </w:rPr>
        <w:t>GD7</w:t>
      </w:r>
      <w:r w:rsidR="006F61C7" w:rsidRPr="009E0D9D">
        <w:rPr>
          <w:b/>
        </w:rPr>
        <w:t xml:space="preserve"> hovedmilepæle </w:t>
      </w:r>
      <w:r w:rsidR="00F91293" w:rsidRPr="009E0D9D">
        <w:rPr>
          <w:b/>
        </w:rPr>
        <w:t>og relationer til</w:t>
      </w:r>
      <w:r w:rsidR="006F61C7" w:rsidRPr="009E0D9D">
        <w:rPr>
          <w:b/>
        </w:rPr>
        <w:t xml:space="preserve"> </w:t>
      </w:r>
      <w:r w:rsidR="00DD2461" w:rsidRPr="009E0D9D">
        <w:rPr>
          <w:b/>
        </w:rPr>
        <w:t>GD1/GD2</w:t>
      </w:r>
      <w:r w:rsidR="006F61C7" w:rsidRPr="009E0D9D">
        <w:rPr>
          <w:b/>
        </w:rPr>
        <w:t>.</w:t>
      </w:r>
      <w:r w:rsidR="006F61C7" w:rsidRPr="009E0D9D">
        <w:rPr>
          <w:b/>
        </w:rPr>
        <w:br/>
      </w:r>
      <w:r w:rsidR="006F61C7">
        <w:t>Gennemgang og afstemning af hovedmilepæle</w:t>
      </w:r>
      <w:r>
        <w:t xml:space="preserve"> mellem GD1-GD2-GD7</w:t>
      </w:r>
      <w:r w:rsidR="006F61C7">
        <w:t>.</w:t>
      </w:r>
      <w:r w:rsidR="00F91293">
        <w:br/>
      </w:r>
      <w:r>
        <w:t>Hvor er der</w:t>
      </w:r>
      <w:r w:rsidR="00F91293">
        <w:t xml:space="preserve"> indbyrdes afhængigheder ift. de forskellige leverancer?</w:t>
      </w:r>
      <w:r w:rsidR="006F61C7" w:rsidRPr="009E0D9D">
        <w:rPr>
          <w:b/>
        </w:rPr>
        <w:br/>
      </w:r>
      <w:r>
        <w:t xml:space="preserve">Er der behov for identifikation og beskrivelse af GD7 arbejdspakker i </w:t>
      </w:r>
      <w:r w:rsidR="00DD2461">
        <w:t>GD1/GD2</w:t>
      </w:r>
      <w:r>
        <w:t xml:space="preserve"> implementering</w:t>
      </w:r>
      <w:r>
        <w:t>s</w:t>
      </w:r>
      <w:r>
        <w:t>planen</w:t>
      </w:r>
      <w:r w:rsidR="00DB4412">
        <w:t>?</w:t>
      </w:r>
      <w:r>
        <w:t xml:space="preserve"> I givet fald også en p</w:t>
      </w:r>
      <w:r w:rsidR="006F61C7">
        <w:t>lan for opdatering af arbejdspakker.</w:t>
      </w:r>
    </w:p>
    <w:p w:rsidR="00B222D5" w:rsidRPr="0058452B" w:rsidRDefault="00FE1841" w:rsidP="0058452B">
      <w:pPr>
        <w:pStyle w:val="Listeafsnit"/>
        <w:numPr>
          <w:ilvl w:val="0"/>
          <w:numId w:val="22"/>
        </w:numPr>
        <w:spacing w:before="60" w:after="0"/>
        <w:ind w:left="714" w:hanging="357"/>
        <w:contextualSpacing w:val="0"/>
      </w:pPr>
      <w:r w:rsidRPr="00FE1841">
        <w:rPr>
          <w:b/>
        </w:rPr>
        <w:t>Øvrige problemstillinger.</w:t>
      </w:r>
      <w:r w:rsidRPr="00FE1841">
        <w:rPr>
          <w:b/>
        </w:rPr>
        <w:br/>
      </w:r>
      <w:r>
        <w:t>Identifikation af øvrige problemstillinger, som skal tages med i replanlægningen.</w:t>
      </w:r>
      <w:r w:rsidR="009E0D9D">
        <w:br/>
        <w:t>Er der eksempelvis områder som kræver en dedikeret workshop ifb. replanlægningen?</w:t>
      </w:r>
      <w:r w:rsidR="006F61C7">
        <w:t xml:space="preserve"> </w:t>
      </w:r>
      <w:r w:rsidR="00B222D5" w:rsidRPr="0058452B">
        <w:rPr>
          <w:b/>
        </w:rPr>
        <w:br w:type="page"/>
      </w:r>
    </w:p>
    <w:p w:rsidR="00106B7D" w:rsidRDefault="00106B7D" w:rsidP="0043543C">
      <w:pPr>
        <w:pStyle w:val="Overskrift2"/>
        <w:spacing w:before="240"/>
        <w:rPr>
          <w:b/>
        </w:rPr>
      </w:pPr>
    </w:p>
    <w:p w:rsidR="00106B7D" w:rsidRDefault="00106B7D" w:rsidP="0043543C">
      <w:pPr>
        <w:pStyle w:val="Overskrift2"/>
        <w:spacing w:before="240"/>
        <w:rPr>
          <w:b/>
        </w:rPr>
      </w:pPr>
      <w:r>
        <w:rPr>
          <w:b/>
        </w:rPr>
        <w:t>Referat</w:t>
      </w:r>
    </w:p>
    <w:p w:rsidR="0043543C" w:rsidRDefault="0043543C" w:rsidP="0043543C">
      <w:pPr>
        <w:pStyle w:val="Overskrift2"/>
        <w:spacing w:before="240"/>
        <w:rPr>
          <w:b/>
        </w:rPr>
      </w:pPr>
      <w:r>
        <w:rPr>
          <w:b/>
        </w:rPr>
        <w:t>1</w:t>
      </w:r>
      <w:r w:rsidRPr="001E035B">
        <w:rPr>
          <w:b/>
        </w:rPr>
        <w:t xml:space="preserve">: </w:t>
      </w:r>
      <w:r>
        <w:rPr>
          <w:b/>
        </w:rPr>
        <w:t>Projektets overordnede status</w:t>
      </w:r>
    </w:p>
    <w:p w:rsidR="0043543C" w:rsidRDefault="0030096F" w:rsidP="0043543C">
      <w:pPr>
        <w:rPr>
          <w:lang w:eastAsia="da-DK"/>
        </w:rPr>
      </w:pPr>
      <w:r>
        <w:rPr>
          <w:lang w:eastAsia="da-DK"/>
        </w:rPr>
        <w:t>KMD</w:t>
      </w:r>
      <w:r w:rsidR="00A63E16">
        <w:rPr>
          <w:lang w:eastAsia="da-DK"/>
        </w:rPr>
        <w:t xml:space="preserve"> blev </w:t>
      </w:r>
      <w:r w:rsidR="00A90FDA">
        <w:rPr>
          <w:lang w:eastAsia="da-DK"/>
        </w:rPr>
        <w:t>valgt som leverandør</w:t>
      </w:r>
      <w:r w:rsidR="00624310">
        <w:rPr>
          <w:lang w:eastAsia="da-DK"/>
        </w:rPr>
        <w:t xml:space="preserve"> af datafordeleren</w:t>
      </w:r>
      <w:r w:rsidR="00A90FDA">
        <w:rPr>
          <w:lang w:eastAsia="da-DK"/>
        </w:rPr>
        <w:t xml:space="preserve"> i juni og kontrakt </w:t>
      </w:r>
      <w:r w:rsidR="0073249E">
        <w:rPr>
          <w:lang w:eastAsia="da-DK"/>
        </w:rPr>
        <w:t>b</w:t>
      </w:r>
      <w:r w:rsidR="00624310">
        <w:rPr>
          <w:lang w:eastAsia="da-DK"/>
        </w:rPr>
        <w:t>l</w:t>
      </w:r>
      <w:r w:rsidR="0073249E">
        <w:rPr>
          <w:lang w:eastAsia="da-DK"/>
        </w:rPr>
        <w:t>e</w:t>
      </w:r>
      <w:r w:rsidR="00624310">
        <w:rPr>
          <w:lang w:eastAsia="da-DK"/>
        </w:rPr>
        <w:t xml:space="preserve">v </w:t>
      </w:r>
      <w:r w:rsidR="00A90FDA">
        <w:rPr>
          <w:lang w:eastAsia="da-DK"/>
        </w:rPr>
        <w:t>underskrevet 30. juli</w:t>
      </w:r>
      <w:r w:rsidR="00C72CCF">
        <w:rPr>
          <w:lang w:eastAsia="da-DK"/>
        </w:rPr>
        <w:t>, der er i ko</w:t>
      </w:r>
      <w:r w:rsidR="00C72CCF">
        <w:rPr>
          <w:lang w:eastAsia="da-DK"/>
        </w:rPr>
        <w:t>n</w:t>
      </w:r>
      <w:r w:rsidR="00C72CCF">
        <w:rPr>
          <w:lang w:eastAsia="da-DK"/>
        </w:rPr>
        <w:t xml:space="preserve">trakten defineret en række delleverancer. </w:t>
      </w:r>
      <w:r>
        <w:rPr>
          <w:lang w:eastAsia="da-DK"/>
        </w:rPr>
        <w:t xml:space="preserve"> </w:t>
      </w:r>
    </w:p>
    <w:p w:rsidR="0030096F" w:rsidRDefault="00C72CCF" w:rsidP="0043543C">
      <w:pPr>
        <w:rPr>
          <w:lang w:eastAsia="da-DK"/>
        </w:rPr>
      </w:pPr>
      <w:r>
        <w:rPr>
          <w:lang w:eastAsia="da-DK"/>
        </w:rPr>
        <w:t xml:space="preserve">Delleverance 1: </w:t>
      </w:r>
      <w:r w:rsidR="0073249E">
        <w:rPr>
          <w:lang w:eastAsia="da-DK"/>
        </w:rPr>
        <w:t>Er den nuværende (f</w:t>
      </w:r>
      <w:r w:rsidR="00A90FDA">
        <w:rPr>
          <w:lang w:eastAsia="da-DK"/>
        </w:rPr>
        <w:t>ørste</w:t>
      </w:r>
      <w:r w:rsidR="0073249E">
        <w:rPr>
          <w:lang w:eastAsia="da-DK"/>
        </w:rPr>
        <w:t>)</w:t>
      </w:r>
      <w:r w:rsidR="00A90FDA">
        <w:rPr>
          <w:lang w:eastAsia="da-DK"/>
        </w:rPr>
        <w:t xml:space="preserve"> periode</w:t>
      </w:r>
      <w:r w:rsidR="0073249E">
        <w:rPr>
          <w:lang w:eastAsia="da-DK"/>
        </w:rPr>
        <w:t xml:space="preserve"> med en afklaringsfase der </w:t>
      </w:r>
      <w:r w:rsidR="00A90FDA">
        <w:rPr>
          <w:lang w:eastAsia="da-DK"/>
        </w:rPr>
        <w:t xml:space="preserve">er blevet forlænget frem til </w:t>
      </w:r>
      <w:r w:rsidR="004F307E">
        <w:rPr>
          <w:lang w:eastAsia="da-DK"/>
        </w:rPr>
        <w:t>19. september.</w:t>
      </w:r>
    </w:p>
    <w:p w:rsidR="00C72CCF" w:rsidRDefault="00C72CCF" w:rsidP="00C72CCF">
      <w:pPr>
        <w:rPr>
          <w:lang w:eastAsia="da-DK"/>
        </w:rPr>
      </w:pPr>
      <w:r>
        <w:rPr>
          <w:lang w:eastAsia="da-DK"/>
        </w:rPr>
        <w:t>Dellev</w:t>
      </w:r>
      <w:r w:rsidR="004F307E">
        <w:rPr>
          <w:lang w:eastAsia="da-DK"/>
        </w:rPr>
        <w:t xml:space="preserve">erance 2: er implementering af </w:t>
      </w:r>
      <w:r w:rsidR="0030096F">
        <w:rPr>
          <w:lang w:eastAsia="da-DK"/>
        </w:rPr>
        <w:t>AWS + DAGI</w:t>
      </w:r>
      <w:r>
        <w:rPr>
          <w:lang w:eastAsia="da-DK"/>
        </w:rPr>
        <w:t xml:space="preserve"> på datafordeleren, disse</w:t>
      </w:r>
      <w:r w:rsidR="00A90FDA">
        <w:rPr>
          <w:lang w:eastAsia="da-DK"/>
        </w:rPr>
        <w:t xml:space="preserve"> skal efter planen i produktion først</w:t>
      </w:r>
      <w:r w:rsidR="006F4F90">
        <w:rPr>
          <w:lang w:eastAsia="da-DK"/>
        </w:rPr>
        <w:t xml:space="preserve"> som refere</w:t>
      </w:r>
      <w:r w:rsidR="00A90FDA">
        <w:rPr>
          <w:lang w:eastAsia="da-DK"/>
        </w:rPr>
        <w:t>nceinfrastruktur.</w:t>
      </w:r>
      <w:r w:rsidR="006F4F90">
        <w:rPr>
          <w:lang w:eastAsia="da-DK"/>
        </w:rPr>
        <w:t xml:space="preserve"> Den 26/9 og</w:t>
      </w:r>
      <w:r w:rsidR="0030096F">
        <w:rPr>
          <w:lang w:eastAsia="da-DK"/>
        </w:rPr>
        <w:t xml:space="preserve"> 3/10: leverer KMD (arkitektur mv)</w:t>
      </w:r>
      <w:r>
        <w:rPr>
          <w:lang w:eastAsia="da-DK"/>
        </w:rPr>
        <w:t>. Referenceimplementeri</w:t>
      </w:r>
      <w:r>
        <w:rPr>
          <w:lang w:eastAsia="da-DK"/>
        </w:rPr>
        <w:t>n</w:t>
      </w:r>
      <w:r>
        <w:rPr>
          <w:lang w:eastAsia="da-DK"/>
        </w:rPr>
        <w:t>gerne forventes at være færdig</w:t>
      </w:r>
      <w:r w:rsidR="00D61B6B">
        <w:rPr>
          <w:lang w:eastAsia="da-DK"/>
        </w:rPr>
        <w:t>e</w:t>
      </w:r>
      <w:r>
        <w:rPr>
          <w:lang w:eastAsia="da-DK"/>
        </w:rPr>
        <w:t xml:space="preserve"> medio 2015</w:t>
      </w:r>
      <w:r w:rsidR="00D61B6B">
        <w:rPr>
          <w:lang w:eastAsia="da-DK"/>
        </w:rPr>
        <w:t>.</w:t>
      </w:r>
      <w:r w:rsidR="00FB3A72">
        <w:rPr>
          <w:lang w:eastAsia="da-DK"/>
        </w:rPr>
        <w:t xml:space="preserve"> POC sker som del af referenceimplementering 2 og 3, 1.7.2015. </w:t>
      </w:r>
      <w:r w:rsidR="00D61B6B">
        <w:rPr>
          <w:lang w:eastAsia="da-DK"/>
        </w:rPr>
        <w:t xml:space="preserve"> </w:t>
      </w:r>
      <w:r>
        <w:rPr>
          <w:lang w:eastAsia="da-DK"/>
        </w:rPr>
        <w:t xml:space="preserve"> </w:t>
      </w:r>
    </w:p>
    <w:p w:rsidR="00F37153" w:rsidRDefault="0030096F" w:rsidP="0043543C">
      <w:pPr>
        <w:rPr>
          <w:lang w:eastAsia="da-DK"/>
        </w:rPr>
      </w:pPr>
      <w:r>
        <w:rPr>
          <w:lang w:eastAsia="da-DK"/>
        </w:rPr>
        <w:t>Delleverance 4</w:t>
      </w:r>
      <w:r w:rsidR="00C72CCF">
        <w:rPr>
          <w:lang w:eastAsia="da-DK"/>
        </w:rPr>
        <w:t xml:space="preserve"> er defineret som de </w:t>
      </w:r>
      <w:r>
        <w:rPr>
          <w:lang w:eastAsia="da-DK"/>
        </w:rPr>
        <w:t>registre som</w:t>
      </w:r>
      <w:r w:rsidR="0073249E">
        <w:rPr>
          <w:lang w:eastAsia="da-DK"/>
        </w:rPr>
        <w:t xml:space="preserve"> </w:t>
      </w:r>
      <w:r>
        <w:rPr>
          <w:lang w:eastAsia="da-DK"/>
        </w:rPr>
        <w:t>udstilles via OIS (Plan, SVUR, AWS</w:t>
      </w:r>
      <w:r w:rsidR="00C90D74">
        <w:rPr>
          <w:lang w:eastAsia="da-DK"/>
        </w:rPr>
        <w:t>5</w:t>
      </w:r>
      <w:r>
        <w:rPr>
          <w:lang w:eastAsia="da-DK"/>
        </w:rPr>
        <w:t>,</w:t>
      </w:r>
      <w:r w:rsidR="009B6FA4">
        <w:rPr>
          <w:lang w:eastAsia="da-DK"/>
        </w:rPr>
        <w:t xml:space="preserve">DAR </w:t>
      </w:r>
      <w:r>
        <w:rPr>
          <w:lang w:eastAsia="da-DK"/>
        </w:rPr>
        <w:t xml:space="preserve"> Ejer</w:t>
      </w:r>
      <w:r w:rsidR="00C90D74">
        <w:rPr>
          <w:lang w:eastAsia="da-DK"/>
        </w:rPr>
        <w:t>/ESR</w:t>
      </w:r>
      <w:r>
        <w:rPr>
          <w:lang w:eastAsia="da-DK"/>
        </w:rPr>
        <w:t>, BBR</w:t>
      </w:r>
      <w:r w:rsidR="00C90D74">
        <w:rPr>
          <w:lang w:eastAsia="da-DK"/>
        </w:rPr>
        <w:t>2.0</w:t>
      </w:r>
      <w:r w:rsidR="00F37153">
        <w:rPr>
          <w:lang w:eastAsia="da-DK"/>
        </w:rPr>
        <w:t xml:space="preserve"> og</w:t>
      </w:r>
      <w:r w:rsidR="00C90D74">
        <w:rPr>
          <w:lang w:eastAsia="da-DK"/>
        </w:rPr>
        <w:t xml:space="preserve"> M</w:t>
      </w:r>
      <w:r w:rsidR="00F37153">
        <w:rPr>
          <w:lang w:eastAsia="da-DK"/>
        </w:rPr>
        <w:t xml:space="preserve">atriklens </w:t>
      </w:r>
      <w:r w:rsidR="00C90D74">
        <w:rPr>
          <w:lang w:eastAsia="da-DK"/>
        </w:rPr>
        <w:t>U</w:t>
      </w:r>
      <w:r w:rsidR="00F37153">
        <w:rPr>
          <w:lang w:eastAsia="da-DK"/>
        </w:rPr>
        <w:t xml:space="preserve">dvidelse </w:t>
      </w:r>
    </w:p>
    <w:p w:rsidR="0030096F" w:rsidRDefault="0030096F" w:rsidP="0043543C">
      <w:pPr>
        <w:rPr>
          <w:lang w:eastAsia="da-DK"/>
        </w:rPr>
      </w:pPr>
      <w:r>
        <w:rPr>
          <w:lang w:eastAsia="da-DK"/>
        </w:rPr>
        <w:t xml:space="preserve">Delleverance 5: </w:t>
      </w:r>
      <w:r w:rsidR="00C72CCF">
        <w:rPr>
          <w:lang w:eastAsia="da-DK"/>
        </w:rPr>
        <w:t xml:space="preserve">er </w:t>
      </w:r>
      <w:r>
        <w:rPr>
          <w:lang w:eastAsia="da-DK"/>
        </w:rPr>
        <w:t xml:space="preserve">de registre som udstilles via </w:t>
      </w:r>
      <w:r w:rsidR="009B6FA4">
        <w:rPr>
          <w:lang w:eastAsia="da-DK"/>
        </w:rPr>
        <w:t>kortforsyningen (DAGI</w:t>
      </w:r>
      <w:r w:rsidR="006F4F90">
        <w:rPr>
          <w:lang w:eastAsia="da-DK"/>
        </w:rPr>
        <w:t>, MU</w:t>
      </w:r>
      <w:r w:rsidR="000C54F1">
        <w:rPr>
          <w:lang w:eastAsia="da-DK"/>
        </w:rPr>
        <w:t>, og en række kortforsyningso</w:t>
      </w:r>
      <w:r w:rsidR="000C54F1">
        <w:rPr>
          <w:lang w:eastAsia="da-DK"/>
        </w:rPr>
        <w:t>p</w:t>
      </w:r>
      <w:r w:rsidR="000C54F1">
        <w:rPr>
          <w:lang w:eastAsia="da-DK"/>
        </w:rPr>
        <w:t>lysninger</w:t>
      </w:r>
      <w:r w:rsidR="006F4F90">
        <w:rPr>
          <w:lang w:eastAsia="da-DK"/>
        </w:rPr>
        <w:t>)</w:t>
      </w:r>
    </w:p>
    <w:p w:rsidR="00FB3A72" w:rsidRDefault="00FB3A72" w:rsidP="0043543C">
      <w:pPr>
        <w:rPr>
          <w:lang w:eastAsia="da-DK"/>
        </w:rPr>
      </w:pPr>
      <w:r>
        <w:rPr>
          <w:lang w:eastAsia="da-DK"/>
        </w:rPr>
        <w:t>Følgende udfordringer blev drøftet i relation til den aktuelle replanlægning:</w:t>
      </w:r>
    </w:p>
    <w:p w:rsidR="00EB101E" w:rsidRDefault="00FB3A72" w:rsidP="0043543C">
      <w:pPr>
        <w:pStyle w:val="Listeafsnit"/>
        <w:numPr>
          <w:ilvl w:val="0"/>
          <w:numId w:val="32"/>
        </w:numPr>
        <w:rPr>
          <w:lang w:eastAsia="da-DK"/>
        </w:rPr>
      </w:pPr>
      <w:r>
        <w:rPr>
          <w:lang w:eastAsia="da-DK"/>
        </w:rPr>
        <w:t>Der er flere registre</w:t>
      </w:r>
      <w:r w:rsidR="001F40EA">
        <w:rPr>
          <w:lang w:eastAsia="da-DK"/>
        </w:rPr>
        <w:t xml:space="preserve"> i GD1/GD2 som </w:t>
      </w:r>
      <w:r>
        <w:rPr>
          <w:lang w:eastAsia="da-DK"/>
        </w:rPr>
        <w:t>skal implementeres</w:t>
      </w:r>
      <w:r w:rsidR="001F40EA">
        <w:rPr>
          <w:lang w:eastAsia="da-DK"/>
        </w:rPr>
        <w:t xml:space="preserve"> stepvis</w:t>
      </w:r>
      <w:r>
        <w:rPr>
          <w:lang w:eastAsia="da-DK"/>
        </w:rPr>
        <w:t xml:space="preserve">. </w:t>
      </w:r>
      <w:r w:rsidR="00177AB7">
        <w:rPr>
          <w:lang w:eastAsia="da-DK"/>
        </w:rPr>
        <w:t xml:space="preserve">Delleverance 4 er en udfordring idet </w:t>
      </w:r>
      <w:r w:rsidR="00412367">
        <w:rPr>
          <w:lang w:eastAsia="da-DK"/>
        </w:rPr>
        <w:t xml:space="preserve">alle </w:t>
      </w:r>
      <w:r w:rsidR="00177AB7">
        <w:rPr>
          <w:lang w:eastAsia="da-DK"/>
        </w:rPr>
        <w:t>registerdata</w:t>
      </w:r>
      <w:r w:rsidR="00412367">
        <w:rPr>
          <w:lang w:eastAsia="da-DK"/>
        </w:rPr>
        <w:t xml:space="preserve"> af KMD</w:t>
      </w:r>
      <w:r w:rsidR="00177AB7">
        <w:rPr>
          <w:lang w:eastAsia="da-DK"/>
        </w:rPr>
        <w:t xml:space="preserve"> forventes leveret </w:t>
      </w:r>
      <w:r w:rsidR="000C54F1">
        <w:rPr>
          <w:lang w:eastAsia="da-DK"/>
        </w:rPr>
        <w:t xml:space="preserve">og implementeret </w:t>
      </w:r>
      <w:r w:rsidR="00177AB7">
        <w:rPr>
          <w:lang w:eastAsia="da-DK"/>
        </w:rPr>
        <w:t>samlet.</w:t>
      </w:r>
      <w:r w:rsidR="00412367">
        <w:rPr>
          <w:lang w:eastAsia="da-DK"/>
        </w:rPr>
        <w:t xml:space="preserve"> </w:t>
      </w:r>
      <w:r w:rsidR="00EB101E">
        <w:rPr>
          <w:lang w:eastAsia="da-DK"/>
        </w:rPr>
        <w:t>GD7 arbejder på, at få r</w:t>
      </w:r>
      <w:r w:rsidR="00EB101E">
        <w:rPr>
          <w:lang w:eastAsia="da-DK"/>
        </w:rPr>
        <w:t>e</w:t>
      </w:r>
      <w:r w:rsidR="00EB101E">
        <w:rPr>
          <w:lang w:eastAsia="da-DK"/>
        </w:rPr>
        <w:t>gistrene implementeret trinvis.</w:t>
      </w:r>
    </w:p>
    <w:p w:rsidR="0086364A" w:rsidRDefault="00F37153" w:rsidP="0043543C">
      <w:pPr>
        <w:pStyle w:val="Listeafsnit"/>
        <w:numPr>
          <w:ilvl w:val="0"/>
          <w:numId w:val="32"/>
        </w:numPr>
        <w:rPr>
          <w:lang w:eastAsia="da-DK"/>
        </w:rPr>
      </w:pPr>
      <w:r>
        <w:rPr>
          <w:lang w:eastAsia="da-DK"/>
        </w:rPr>
        <w:t>Evt.</w:t>
      </w:r>
      <w:r w:rsidR="0086364A">
        <w:rPr>
          <w:lang w:eastAsia="da-DK"/>
        </w:rPr>
        <w:t xml:space="preserve"> ”</w:t>
      </w:r>
      <w:proofErr w:type="spellStart"/>
      <w:r w:rsidR="0086364A">
        <w:rPr>
          <w:lang w:eastAsia="da-DK"/>
        </w:rPr>
        <w:t>forzen</w:t>
      </w:r>
      <w:proofErr w:type="spellEnd"/>
      <w:r w:rsidR="0086364A">
        <w:rPr>
          <w:lang w:eastAsia="da-DK"/>
        </w:rPr>
        <w:t xml:space="preserve"> Zone” for </w:t>
      </w:r>
      <w:r>
        <w:rPr>
          <w:lang w:eastAsia="da-DK"/>
        </w:rPr>
        <w:t xml:space="preserve">tilpasninger i </w:t>
      </w:r>
      <w:r w:rsidR="0086364A">
        <w:rPr>
          <w:lang w:eastAsia="da-DK"/>
        </w:rPr>
        <w:t xml:space="preserve">ESR i perioden 1. oktober til 1. marts </w:t>
      </w:r>
      <w:r>
        <w:rPr>
          <w:lang w:eastAsia="da-DK"/>
        </w:rPr>
        <w:t>kan blive en udfordring</w:t>
      </w:r>
      <w:r w:rsidR="0086364A">
        <w:rPr>
          <w:lang w:eastAsia="da-DK"/>
        </w:rPr>
        <w:t>.</w:t>
      </w:r>
    </w:p>
    <w:p w:rsidR="0043543C" w:rsidRDefault="0086364A" w:rsidP="008315BE">
      <w:pPr>
        <w:rPr>
          <w:b/>
        </w:rPr>
      </w:pPr>
      <w:r>
        <w:rPr>
          <w:lang w:eastAsia="da-DK"/>
        </w:rPr>
        <w:t xml:space="preserve">Med hensyn til frembringelsen af en fælles </w:t>
      </w:r>
      <w:r w:rsidR="00A308FD">
        <w:rPr>
          <w:lang w:eastAsia="da-DK"/>
        </w:rPr>
        <w:t xml:space="preserve">implementerings og </w:t>
      </w:r>
      <w:proofErr w:type="spellStart"/>
      <w:r w:rsidR="00A308FD">
        <w:rPr>
          <w:lang w:eastAsia="da-DK"/>
        </w:rPr>
        <w:t>id</w:t>
      </w:r>
      <w:r w:rsidR="00F37153">
        <w:rPr>
          <w:lang w:eastAsia="da-DK"/>
        </w:rPr>
        <w:t>r</w:t>
      </w:r>
      <w:r w:rsidR="00A308FD">
        <w:rPr>
          <w:lang w:eastAsia="da-DK"/>
        </w:rPr>
        <w:t>iftssættelsesplan</w:t>
      </w:r>
      <w:proofErr w:type="spellEnd"/>
      <w:r w:rsidR="00A308FD">
        <w:rPr>
          <w:lang w:eastAsia="da-DK"/>
        </w:rPr>
        <w:t>,</w:t>
      </w:r>
      <w:r w:rsidR="00411EE3">
        <w:rPr>
          <w:lang w:eastAsia="da-DK"/>
        </w:rPr>
        <w:t xml:space="preserve"> </w:t>
      </w:r>
      <w:r>
        <w:rPr>
          <w:lang w:eastAsia="da-DK"/>
        </w:rPr>
        <w:t xml:space="preserve">er det </w:t>
      </w:r>
      <w:r w:rsidR="00F47720">
        <w:rPr>
          <w:lang w:eastAsia="da-DK"/>
        </w:rPr>
        <w:t xml:space="preserve">nødvendigt at få tegnet </w:t>
      </w:r>
      <w:r w:rsidR="00A308FD">
        <w:rPr>
          <w:lang w:eastAsia="da-DK"/>
        </w:rPr>
        <w:t>fælles proces og t</w:t>
      </w:r>
      <w:r w:rsidR="004520D1">
        <w:rPr>
          <w:lang w:eastAsia="da-DK"/>
        </w:rPr>
        <w:t>idsplaner</w:t>
      </w:r>
      <w:r w:rsidR="00A308FD">
        <w:rPr>
          <w:lang w:eastAsia="da-DK"/>
        </w:rPr>
        <w:t xml:space="preserve">. Herefter kan fælles </w:t>
      </w:r>
      <w:r w:rsidR="00EB1089">
        <w:rPr>
          <w:lang w:eastAsia="da-DK"/>
        </w:rPr>
        <w:t>milepæle</w:t>
      </w:r>
      <w:r w:rsidR="00A308FD">
        <w:rPr>
          <w:lang w:eastAsia="da-DK"/>
        </w:rPr>
        <w:t xml:space="preserve"> identificeres og fastsættes.</w:t>
      </w:r>
    </w:p>
    <w:p w:rsidR="00621C1A" w:rsidRPr="001E035B" w:rsidRDefault="00621C1A" w:rsidP="00621C1A">
      <w:pPr>
        <w:pStyle w:val="Overskrift2"/>
        <w:rPr>
          <w:b/>
        </w:rPr>
      </w:pPr>
      <w:r w:rsidRPr="001E035B">
        <w:rPr>
          <w:b/>
        </w:rPr>
        <w:t>Agenda punkt</w:t>
      </w:r>
      <w:r w:rsidR="00CB7F1A">
        <w:rPr>
          <w:b/>
        </w:rPr>
        <w:t xml:space="preserve"> </w:t>
      </w:r>
      <w:r w:rsidRPr="001E035B">
        <w:rPr>
          <w:b/>
        </w:rPr>
        <w:t>2: Forventningsafstemning – SLA på QA-leverancer mv.</w:t>
      </w:r>
    </w:p>
    <w:p w:rsidR="00FE537B" w:rsidRDefault="00FE537B" w:rsidP="00B222D5">
      <w:pPr>
        <w:spacing w:after="0"/>
        <w:rPr>
          <w:lang w:eastAsia="da-DK"/>
        </w:rPr>
      </w:pPr>
      <w:r>
        <w:rPr>
          <w:lang w:eastAsia="da-DK"/>
        </w:rPr>
        <w:t>Nedenfor angives en række opgaver, som dels har relation til QA-opgaver hos GD7/DIGST, dels har bety</w:t>
      </w:r>
      <w:r>
        <w:rPr>
          <w:lang w:eastAsia="da-DK"/>
        </w:rPr>
        <w:t>d</w:t>
      </w:r>
      <w:r>
        <w:rPr>
          <w:lang w:eastAsia="da-DK"/>
        </w:rPr>
        <w:t xml:space="preserve">ning for </w:t>
      </w:r>
      <w:r w:rsidR="00CB7F1A">
        <w:rPr>
          <w:lang w:eastAsia="da-DK"/>
        </w:rPr>
        <w:t>den samlede leveringstid på leverancer fra</w:t>
      </w:r>
      <w:r>
        <w:rPr>
          <w:lang w:eastAsia="da-DK"/>
        </w:rPr>
        <w:t xml:space="preserve"> Datafordelerens leverandør. Disse er væsentlige for replanlægningen – ikke mindst fordi kalenderudstrækningen af disse aktiviteter har stor betydning for hvornår test og andre tværgående aktiviteter kan planlægges.</w:t>
      </w:r>
    </w:p>
    <w:p w:rsidR="00621C1A" w:rsidRDefault="00FE537B" w:rsidP="00FE537B">
      <w:pPr>
        <w:spacing w:after="120"/>
        <w:rPr>
          <w:lang w:eastAsia="da-DK"/>
        </w:rPr>
      </w:pPr>
      <w:r>
        <w:rPr>
          <w:lang w:eastAsia="da-DK"/>
        </w:rPr>
        <w:t xml:space="preserve">Er der usikkerhed ift. </w:t>
      </w:r>
      <w:r w:rsidR="00F47720">
        <w:rPr>
          <w:lang w:eastAsia="da-DK"/>
        </w:rPr>
        <w:t xml:space="preserve"> </w:t>
      </w:r>
      <w:r>
        <w:rPr>
          <w:lang w:eastAsia="da-DK"/>
        </w:rPr>
        <w:t>de enkelte opgaver kan angives et minimum og et maksimum. Tider angives i mån</w:t>
      </w:r>
      <w:r>
        <w:rPr>
          <w:lang w:eastAsia="da-DK"/>
        </w:rPr>
        <w:t>e</w:t>
      </w:r>
      <w:r>
        <w:rPr>
          <w:lang w:eastAsia="da-DK"/>
        </w:rPr>
        <w:t xml:space="preserve">der, uger eller arbejdsdage, hvor 5 arbejdsdage regnes for en kalenderuge. </w:t>
      </w:r>
    </w:p>
    <w:p w:rsidR="00B222D5" w:rsidRDefault="00B222D5" w:rsidP="00B222D5">
      <w:pPr>
        <w:spacing w:after="240"/>
        <w:rPr>
          <w:lang w:eastAsia="da-DK"/>
        </w:rPr>
      </w:pPr>
      <w:r>
        <w:rPr>
          <w:lang w:eastAsia="da-DK"/>
        </w:rPr>
        <w:t>Den forretningsmæssige afklaring og beskrivelse i GD1/GD2 forventes at være afklaret og kvalitetssikret inden nedenstående aktiviteter.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1134"/>
        <w:gridCol w:w="1298"/>
      </w:tblGrid>
      <w:tr w:rsidR="00FE537B" w:rsidRPr="00A20598" w:rsidTr="00FE537B">
        <w:trPr>
          <w:cantSplit/>
          <w:tblHeader/>
        </w:trPr>
        <w:tc>
          <w:tcPr>
            <w:tcW w:w="7088" w:type="dxa"/>
            <w:shd w:val="clear" w:color="auto" w:fill="B6DDE8" w:themeFill="accent5" w:themeFillTint="66"/>
          </w:tcPr>
          <w:p w:rsidR="00FE537B" w:rsidRPr="00A20598" w:rsidRDefault="00FE537B" w:rsidP="00FE537B">
            <w:pPr>
              <w:spacing w:before="40" w:after="40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Implementering af dat</w:t>
            </w:r>
            <w:r w:rsidR="00B222D5">
              <w:rPr>
                <w:b/>
                <w:lang w:eastAsia="da-DK"/>
              </w:rPr>
              <w:t>a og datamodel på Datafordeler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E537B" w:rsidRPr="00A20598" w:rsidRDefault="00FE537B" w:rsidP="00FE537B">
            <w:pPr>
              <w:spacing w:before="40" w:after="40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Minimum</w:t>
            </w:r>
          </w:p>
        </w:tc>
        <w:tc>
          <w:tcPr>
            <w:tcW w:w="1298" w:type="dxa"/>
            <w:shd w:val="clear" w:color="auto" w:fill="B6DDE8" w:themeFill="accent5" w:themeFillTint="66"/>
          </w:tcPr>
          <w:p w:rsidR="00FE537B" w:rsidRPr="00A20598" w:rsidRDefault="00FE537B" w:rsidP="00FE537B">
            <w:pPr>
              <w:spacing w:before="40" w:after="40"/>
              <w:jc w:val="center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Maksimalt</w:t>
            </w:r>
          </w:p>
        </w:tc>
      </w:tr>
      <w:tr w:rsidR="00FE537B" w:rsidTr="00FE537B">
        <w:trPr>
          <w:cantSplit/>
        </w:trPr>
        <w:tc>
          <w:tcPr>
            <w:tcW w:w="7088" w:type="dxa"/>
          </w:tcPr>
          <w:p w:rsidR="00FE537B" w:rsidRDefault="00B222D5" w:rsidP="00424876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GD7 QA </w:t>
            </w:r>
            <w:r w:rsidR="00E46DB3">
              <w:rPr>
                <w:lang w:eastAsia="da-DK"/>
              </w:rPr>
              <w:t xml:space="preserve">og godkendelse </w:t>
            </w:r>
            <w:r>
              <w:rPr>
                <w:lang w:eastAsia="da-DK"/>
              </w:rPr>
              <w:t>af Informationsmodel/datamodel i relation til in</w:t>
            </w:r>
            <w:r>
              <w:rPr>
                <w:lang w:eastAsia="da-DK"/>
              </w:rPr>
              <w:t>d</w:t>
            </w:r>
            <w:r>
              <w:rPr>
                <w:lang w:eastAsia="da-DK"/>
              </w:rPr>
              <w:t xml:space="preserve">pasning i den fælles datamodel, overholdelse af modelleringsregler mv. </w:t>
            </w:r>
            <w:r w:rsidR="00424876">
              <w:rPr>
                <w:lang w:eastAsia="da-DK"/>
              </w:rPr>
              <w:br/>
              <w:t>Hvor lang tid skal GD7/DIGST have til denne proces?</w:t>
            </w:r>
          </w:p>
        </w:tc>
        <w:tc>
          <w:tcPr>
            <w:tcW w:w="1134" w:type="dxa"/>
          </w:tcPr>
          <w:p w:rsidR="00FE537B" w:rsidRPr="00B34CCF" w:rsidRDefault="00FE537B" w:rsidP="00CB7F1A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298" w:type="dxa"/>
          </w:tcPr>
          <w:p w:rsidR="00FE537B" w:rsidRDefault="00FE537B" w:rsidP="00CB7F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B222D5" w:rsidTr="00FE537B">
        <w:trPr>
          <w:cantSplit/>
        </w:trPr>
        <w:tc>
          <w:tcPr>
            <w:tcW w:w="7088" w:type="dxa"/>
          </w:tcPr>
          <w:p w:rsidR="00424876" w:rsidRDefault="0058452B" w:rsidP="00424876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lastRenderedPageBreak/>
              <w:t>Etablering af datamodel i Datafordelerens modeller</w:t>
            </w:r>
            <w:r w:rsidR="00E46DB3">
              <w:rPr>
                <w:lang w:eastAsia="da-DK"/>
              </w:rPr>
              <w:t>i</w:t>
            </w:r>
            <w:r>
              <w:rPr>
                <w:lang w:eastAsia="da-DK"/>
              </w:rPr>
              <w:t xml:space="preserve">ngsværktøj. </w:t>
            </w:r>
            <w:r w:rsidR="00424876">
              <w:rPr>
                <w:lang w:eastAsia="da-DK"/>
              </w:rPr>
              <w:br/>
            </w:r>
            <w:r>
              <w:rPr>
                <w:lang w:eastAsia="da-DK"/>
              </w:rPr>
              <w:t xml:space="preserve">Dvs. erfaringer for/forventninger til </w:t>
            </w:r>
            <w:r w:rsidR="00424876">
              <w:rPr>
                <w:lang w:eastAsia="da-DK"/>
              </w:rPr>
              <w:t>den</w:t>
            </w:r>
            <w:r>
              <w:rPr>
                <w:lang w:eastAsia="da-DK"/>
              </w:rPr>
              <w:t xml:space="preserve"> tid det forventes at tage</w:t>
            </w:r>
            <w:r w:rsidR="00424876">
              <w:rPr>
                <w:lang w:eastAsia="da-DK"/>
              </w:rPr>
              <w:t>,</w:t>
            </w:r>
            <w:r>
              <w:rPr>
                <w:lang w:eastAsia="da-DK"/>
              </w:rPr>
              <w:t xml:space="preserve"> når der skal etableres en elektronisk sammenkobling af to modelleringsværktøjer</w:t>
            </w:r>
            <w:r w:rsidR="00424876">
              <w:rPr>
                <w:lang w:eastAsia="da-DK"/>
              </w:rPr>
              <w:t>.</w:t>
            </w:r>
          </w:p>
          <w:p w:rsidR="00B222D5" w:rsidRDefault="00424876" w:rsidP="00424876">
            <w:pPr>
              <w:spacing w:before="40" w:after="40"/>
              <w:rPr>
                <w:lang w:eastAsia="da-DK"/>
              </w:rPr>
            </w:pPr>
            <w:r w:rsidRPr="00424876">
              <w:rPr>
                <w:i/>
                <w:lang w:eastAsia="da-DK"/>
              </w:rPr>
              <w:t>(Skal datamodellen være godkendt inden denne proces kan påbegyndes, eller kan det foregå på en ikke-godkendt testmodel?)</w:t>
            </w:r>
            <w:r>
              <w:rPr>
                <w:lang w:eastAsia="da-DK"/>
              </w:rPr>
              <w:t xml:space="preserve"> </w:t>
            </w:r>
          </w:p>
          <w:p w:rsidR="005262E4" w:rsidRDefault="005262E4" w:rsidP="00424876">
            <w:pPr>
              <w:spacing w:before="40" w:after="40"/>
              <w:rPr>
                <w:lang w:eastAsia="da-DK"/>
              </w:rPr>
            </w:pPr>
          </w:p>
          <w:p w:rsidR="005262E4" w:rsidRPr="000B109D" w:rsidRDefault="004D71AC" w:rsidP="00424876">
            <w:pPr>
              <w:spacing w:before="40" w:after="40"/>
              <w:rPr>
                <w:color w:val="00B050"/>
                <w:lang w:eastAsia="da-DK"/>
              </w:rPr>
            </w:pPr>
            <w:r w:rsidRPr="000B109D">
              <w:rPr>
                <w:color w:val="00B050"/>
                <w:lang w:eastAsia="da-DK"/>
              </w:rPr>
              <w:t>Der er l</w:t>
            </w:r>
            <w:r w:rsidR="005262E4" w:rsidRPr="000B109D">
              <w:rPr>
                <w:color w:val="00B050"/>
                <w:lang w:eastAsia="da-DK"/>
              </w:rPr>
              <w:t xml:space="preserve">avet en dataleverance aftale med KMD.  </w:t>
            </w:r>
          </w:p>
          <w:p w:rsidR="005262E4" w:rsidRPr="000B109D" w:rsidRDefault="004D71AC" w:rsidP="00424876">
            <w:pPr>
              <w:spacing w:before="40" w:after="40"/>
              <w:rPr>
                <w:color w:val="00B050"/>
                <w:lang w:eastAsia="da-DK"/>
              </w:rPr>
            </w:pPr>
            <w:r w:rsidRPr="000B109D">
              <w:rPr>
                <w:color w:val="00B050"/>
                <w:lang w:eastAsia="da-DK"/>
              </w:rPr>
              <w:t>Det enkelte GD1/GD2 r</w:t>
            </w:r>
            <w:r w:rsidR="005262E4" w:rsidRPr="000B109D">
              <w:rPr>
                <w:color w:val="00B050"/>
                <w:lang w:eastAsia="da-DK"/>
              </w:rPr>
              <w:t xml:space="preserve">egister skal beskrive </w:t>
            </w:r>
            <w:proofErr w:type="spellStart"/>
            <w:r w:rsidR="005262E4" w:rsidRPr="000B109D">
              <w:rPr>
                <w:color w:val="00B050"/>
                <w:lang w:eastAsia="da-DK"/>
              </w:rPr>
              <w:t>mapning</w:t>
            </w:r>
            <w:proofErr w:type="spellEnd"/>
            <w:r w:rsidR="005262E4" w:rsidRPr="000B109D">
              <w:rPr>
                <w:color w:val="00B050"/>
                <w:lang w:eastAsia="da-DK"/>
              </w:rPr>
              <w:t xml:space="preserve"> </w:t>
            </w:r>
            <w:proofErr w:type="spellStart"/>
            <w:r w:rsidR="005262E4" w:rsidRPr="000B109D">
              <w:rPr>
                <w:color w:val="00B050"/>
                <w:lang w:eastAsia="da-DK"/>
              </w:rPr>
              <w:t>ift</w:t>
            </w:r>
            <w:proofErr w:type="spellEnd"/>
            <w:r w:rsidR="005262E4" w:rsidRPr="000B109D">
              <w:rPr>
                <w:color w:val="00B050"/>
                <w:lang w:eastAsia="da-DK"/>
              </w:rPr>
              <w:t xml:space="preserve"> udstillingsmodellen (hvis der skal ske en transformation, så skal de regler beskrives). Lagring- og udstillingsmodel er register</w:t>
            </w:r>
            <w:r w:rsidR="00F37153">
              <w:rPr>
                <w:color w:val="00B050"/>
                <w:lang w:eastAsia="da-DK"/>
              </w:rPr>
              <w:t>et</w:t>
            </w:r>
            <w:r w:rsidR="005262E4" w:rsidRPr="000B109D">
              <w:rPr>
                <w:color w:val="00B050"/>
                <w:lang w:eastAsia="da-DK"/>
              </w:rPr>
              <w:t xml:space="preserve">s ansvar. </w:t>
            </w:r>
            <w:proofErr w:type="spellStart"/>
            <w:r w:rsidR="005262E4" w:rsidRPr="000B109D">
              <w:rPr>
                <w:color w:val="00B050"/>
                <w:lang w:eastAsia="da-DK"/>
              </w:rPr>
              <w:t>Udstilliningsmodellen</w:t>
            </w:r>
            <w:proofErr w:type="spellEnd"/>
            <w:r w:rsidR="005262E4" w:rsidRPr="000B109D">
              <w:rPr>
                <w:color w:val="00B050"/>
                <w:lang w:eastAsia="da-DK"/>
              </w:rPr>
              <w:t xml:space="preserve"> skal være b</w:t>
            </w:r>
            <w:r w:rsidR="005262E4" w:rsidRPr="000B109D">
              <w:rPr>
                <w:color w:val="00B050"/>
                <w:lang w:eastAsia="da-DK"/>
              </w:rPr>
              <w:t>e</w:t>
            </w:r>
            <w:r w:rsidR="005262E4" w:rsidRPr="000B109D">
              <w:rPr>
                <w:color w:val="00B050"/>
                <w:lang w:eastAsia="da-DK"/>
              </w:rPr>
              <w:t>skrevet i Enterprise Ar</w:t>
            </w:r>
            <w:r w:rsidR="00E74997" w:rsidRPr="000B109D">
              <w:rPr>
                <w:color w:val="00B050"/>
                <w:lang w:eastAsia="da-DK"/>
              </w:rPr>
              <w:t>chitect.</w:t>
            </w:r>
            <w:r w:rsidR="008E5495" w:rsidRPr="000B109D">
              <w:rPr>
                <w:color w:val="00B050"/>
                <w:lang w:eastAsia="da-DK"/>
              </w:rPr>
              <w:t xml:space="preserve"> </w:t>
            </w:r>
            <w:r w:rsidR="00334286" w:rsidRPr="000B109D">
              <w:rPr>
                <w:color w:val="00B050"/>
                <w:lang w:eastAsia="da-DK"/>
              </w:rPr>
              <w:t>Pr. register skal der laves aftale om, hvor hy</w:t>
            </w:r>
            <w:r w:rsidR="00334286" w:rsidRPr="000B109D">
              <w:rPr>
                <w:color w:val="00B050"/>
                <w:lang w:eastAsia="da-DK"/>
              </w:rPr>
              <w:t>p</w:t>
            </w:r>
            <w:r w:rsidR="00334286" w:rsidRPr="000B109D">
              <w:rPr>
                <w:color w:val="00B050"/>
                <w:lang w:eastAsia="da-DK"/>
              </w:rPr>
              <w:t>pigt der leveres data.</w:t>
            </w:r>
            <w:r w:rsidR="00DC62FA" w:rsidRPr="000B109D">
              <w:rPr>
                <w:color w:val="00B050"/>
                <w:lang w:eastAsia="da-DK"/>
              </w:rPr>
              <w:br/>
            </w:r>
          </w:p>
          <w:p w:rsidR="005262E4" w:rsidRPr="000B109D" w:rsidRDefault="006C56C8" w:rsidP="006C56C8">
            <w:pPr>
              <w:pStyle w:val="Listeafsnit"/>
              <w:numPr>
                <w:ilvl w:val="0"/>
                <w:numId w:val="32"/>
              </w:numPr>
              <w:spacing w:before="40" w:after="40"/>
              <w:rPr>
                <w:color w:val="00B050"/>
                <w:lang w:eastAsia="da-DK"/>
              </w:rPr>
            </w:pPr>
            <w:r w:rsidRPr="000B109D">
              <w:rPr>
                <w:color w:val="00B050"/>
                <w:lang w:eastAsia="da-DK"/>
              </w:rPr>
              <w:t>KMD stiller</w:t>
            </w:r>
            <w:r w:rsidR="005262E4" w:rsidRPr="000B109D">
              <w:rPr>
                <w:color w:val="00B050"/>
                <w:lang w:eastAsia="da-DK"/>
              </w:rPr>
              <w:t xml:space="preserve"> </w:t>
            </w:r>
            <w:r w:rsidRPr="000B109D">
              <w:rPr>
                <w:color w:val="00B050"/>
                <w:lang w:eastAsia="da-DK"/>
              </w:rPr>
              <w:t>k</w:t>
            </w:r>
            <w:r w:rsidR="005262E4" w:rsidRPr="000B109D">
              <w:rPr>
                <w:color w:val="00B050"/>
                <w:lang w:eastAsia="da-DK"/>
              </w:rPr>
              <w:t>rav</w:t>
            </w:r>
            <w:r w:rsidRPr="000B109D">
              <w:rPr>
                <w:color w:val="00B050"/>
                <w:lang w:eastAsia="da-DK"/>
              </w:rPr>
              <w:t xml:space="preserve"> om at </w:t>
            </w:r>
            <w:r w:rsidR="005262E4" w:rsidRPr="000B109D">
              <w:rPr>
                <w:color w:val="00B050"/>
                <w:lang w:eastAsia="da-DK"/>
              </w:rPr>
              <w:t>datamodel</w:t>
            </w:r>
            <w:r w:rsidR="00F67003" w:rsidRPr="000B109D">
              <w:rPr>
                <w:color w:val="00B050"/>
                <w:lang w:eastAsia="da-DK"/>
              </w:rPr>
              <w:t>ler</w:t>
            </w:r>
            <w:r w:rsidR="005262E4" w:rsidRPr="000B109D">
              <w:rPr>
                <w:color w:val="00B050"/>
                <w:lang w:eastAsia="da-DK"/>
              </w:rPr>
              <w:t xml:space="preserve"> leveres i XMI</w:t>
            </w:r>
            <w:r w:rsidR="00F67003" w:rsidRPr="000B109D">
              <w:rPr>
                <w:color w:val="00B050"/>
                <w:lang w:eastAsia="da-DK"/>
              </w:rPr>
              <w:t>.</w:t>
            </w:r>
          </w:p>
          <w:p w:rsidR="006C56C8" w:rsidRPr="000B109D" w:rsidRDefault="006C56C8" w:rsidP="006C56C8">
            <w:pPr>
              <w:pStyle w:val="Listeafsnit"/>
              <w:numPr>
                <w:ilvl w:val="0"/>
                <w:numId w:val="32"/>
              </w:numPr>
              <w:spacing w:before="40" w:after="40"/>
              <w:rPr>
                <w:color w:val="00B050"/>
                <w:lang w:eastAsia="da-DK"/>
              </w:rPr>
            </w:pPr>
            <w:r w:rsidRPr="000B109D">
              <w:rPr>
                <w:color w:val="00B050"/>
                <w:lang w:eastAsia="da-DK"/>
              </w:rPr>
              <w:t xml:space="preserve">Det er </w:t>
            </w:r>
            <w:r w:rsidR="005262E4" w:rsidRPr="000B109D">
              <w:rPr>
                <w:color w:val="00B050"/>
                <w:lang w:eastAsia="da-DK"/>
              </w:rPr>
              <w:t>DF-operatørs forventning</w:t>
            </w:r>
            <w:r w:rsidRPr="000B109D">
              <w:rPr>
                <w:color w:val="00B050"/>
                <w:lang w:eastAsia="da-DK"/>
              </w:rPr>
              <w:t xml:space="preserve"> at modtage </w:t>
            </w:r>
            <w:r w:rsidR="005262E4" w:rsidRPr="000B109D">
              <w:rPr>
                <w:color w:val="00B050"/>
                <w:lang w:eastAsia="da-DK"/>
              </w:rPr>
              <w:t>et udtræk (lig AWS)</w:t>
            </w:r>
          </w:p>
          <w:p w:rsidR="005262E4" w:rsidRDefault="005262E4" w:rsidP="006C56C8">
            <w:pPr>
              <w:pStyle w:val="Listeafsnit"/>
              <w:numPr>
                <w:ilvl w:val="0"/>
                <w:numId w:val="32"/>
              </w:numPr>
              <w:spacing w:before="40" w:after="40"/>
              <w:rPr>
                <w:lang w:eastAsia="da-DK"/>
              </w:rPr>
            </w:pPr>
            <w:r w:rsidRPr="000B109D">
              <w:rPr>
                <w:color w:val="00B050"/>
                <w:lang w:eastAsia="da-DK"/>
              </w:rPr>
              <w:t>DF-operatør og register: der laves en aftale pr. register</w:t>
            </w:r>
            <w:r w:rsidR="006C56C8" w:rsidRPr="000B109D">
              <w:rPr>
                <w:color w:val="00B050"/>
                <w:lang w:eastAsia="da-DK"/>
              </w:rPr>
              <w:t xml:space="preserve"> med DF-operatøren</w:t>
            </w:r>
            <w:r w:rsidR="00F37153">
              <w:rPr>
                <w:color w:val="00B050"/>
                <w:lang w:eastAsia="da-DK"/>
              </w:rPr>
              <w:t>, jf. aftalte GD1/GD2/GD7 arkitekturrammer</w:t>
            </w:r>
          </w:p>
        </w:tc>
        <w:tc>
          <w:tcPr>
            <w:tcW w:w="1134" w:type="dxa"/>
          </w:tcPr>
          <w:p w:rsidR="00B222D5" w:rsidRPr="00B34CCF" w:rsidRDefault="00B222D5" w:rsidP="00CB7F1A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298" w:type="dxa"/>
          </w:tcPr>
          <w:p w:rsidR="00B222D5" w:rsidRDefault="00B222D5" w:rsidP="00CB7F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B222D5" w:rsidTr="00FE537B">
        <w:trPr>
          <w:cantSplit/>
        </w:trPr>
        <w:tc>
          <w:tcPr>
            <w:tcW w:w="7088" w:type="dxa"/>
          </w:tcPr>
          <w:p w:rsidR="00B222D5" w:rsidRDefault="0058452B" w:rsidP="00424876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Etablering af en overførsel af data fra register til Datafordeler – </w:t>
            </w:r>
            <w:r w:rsidR="00CB7F1A">
              <w:rPr>
                <w:lang w:eastAsia="da-DK"/>
              </w:rPr>
              <w:t>opdele</w:t>
            </w:r>
            <w:r w:rsidR="00424876">
              <w:rPr>
                <w:lang w:eastAsia="da-DK"/>
              </w:rPr>
              <w:t>s ev</w:t>
            </w:r>
            <w:r>
              <w:rPr>
                <w:lang w:eastAsia="da-DK"/>
              </w:rPr>
              <w:t xml:space="preserve">t. I et initialt load og en </w:t>
            </w:r>
            <w:r w:rsidR="00424876">
              <w:rPr>
                <w:lang w:eastAsia="da-DK"/>
              </w:rPr>
              <w:t xml:space="preserve">efterfølgende </w:t>
            </w:r>
            <w:r>
              <w:rPr>
                <w:lang w:eastAsia="da-DK"/>
              </w:rPr>
              <w:t>løbende opdatering.</w:t>
            </w:r>
            <w:r w:rsidR="00424876">
              <w:rPr>
                <w:lang w:eastAsia="da-DK"/>
              </w:rPr>
              <w:br/>
              <w:t xml:space="preserve">Dvs. den tid der forventes fra at selve datamodellen er klar til at projektet kan regne med at data er etableret i testmiljø på Datafordeler. </w:t>
            </w:r>
          </w:p>
        </w:tc>
        <w:tc>
          <w:tcPr>
            <w:tcW w:w="1134" w:type="dxa"/>
          </w:tcPr>
          <w:p w:rsidR="00B222D5" w:rsidRPr="00B34CCF" w:rsidRDefault="00B222D5" w:rsidP="00CB7F1A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298" w:type="dxa"/>
          </w:tcPr>
          <w:p w:rsidR="00B222D5" w:rsidRDefault="00B222D5" w:rsidP="00CB7F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B222D5" w:rsidTr="00FE537B">
        <w:trPr>
          <w:cantSplit/>
        </w:trPr>
        <w:tc>
          <w:tcPr>
            <w:tcW w:w="7088" w:type="dxa"/>
          </w:tcPr>
          <w:p w:rsidR="00B222D5" w:rsidRDefault="00B222D5" w:rsidP="00424876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34" w:type="dxa"/>
          </w:tcPr>
          <w:p w:rsidR="00B222D5" w:rsidRPr="00B34CCF" w:rsidRDefault="00B222D5" w:rsidP="00CB7F1A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298" w:type="dxa"/>
          </w:tcPr>
          <w:p w:rsidR="00B222D5" w:rsidRDefault="00B222D5" w:rsidP="00CB7F1A">
            <w:pPr>
              <w:spacing w:before="40" w:after="40"/>
              <w:jc w:val="center"/>
              <w:rPr>
                <w:lang w:eastAsia="da-DK"/>
              </w:rPr>
            </w:pPr>
          </w:p>
        </w:tc>
      </w:tr>
    </w:tbl>
    <w:p w:rsidR="00FE537B" w:rsidRDefault="00FE537B" w:rsidP="00FE537B">
      <w:pPr>
        <w:spacing w:after="120"/>
        <w:rPr>
          <w:lang w:eastAsia="da-DK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1134"/>
        <w:gridCol w:w="1298"/>
      </w:tblGrid>
      <w:tr w:rsidR="00B222D5" w:rsidRPr="00A20598" w:rsidTr="00CB7F1A">
        <w:trPr>
          <w:cantSplit/>
          <w:tblHeader/>
        </w:trPr>
        <w:tc>
          <w:tcPr>
            <w:tcW w:w="7088" w:type="dxa"/>
            <w:shd w:val="clear" w:color="auto" w:fill="B6DDE8" w:themeFill="accent5" w:themeFillTint="66"/>
          </w:tcPr>
          <w:p w:rsidR="00B222D5" w:rsidRPr="00A20598" w:rsidRDefault="00B222D5" w:rsidP="00B222D5">
            <w:pPr>
              <w:spacing w:before="40" w:after="40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Implementering af services på Datafordeler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222D5" w:rsidRPr="00A20598" w:rsidRDefault="00B222D5" w:rsidP="00CB7F1A">
            <w:pPr>
              <w:spacing w:before="40" w:after="40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Minimum</w:t>
            </w:r>
          </w:p>
        </w:tc>
        <w:tc>
          <w:tcPr>
            <w:tcW w:w="1298" w:type="dxa"/>
            <w:shd w:val="clear" w:color="auto" w:fill="B6DDE8" w:themeFill="accent5" w:themeFillTint="66"/>
          </w:tcPr>
          <w:p w:rsidR="00B222D5" w:rsidRPr="00A20598" w:rsidRDefault="00B222D5" w:rsidP="00CB7F1A">
            <w:pPr>
              <w:spacing w:before="40" w:after="40"/>
              <w:jc w:val="center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Maksimalt</w:t>
            </w:r>
          </w:p>
        </w:tc>
      </w:tr>
      <w:tr w:rsidR="00A65D96" w:rsidTr="00CB7F1A">
        <w:trPr>
          <w:cantSplit/>
        </w:trPr>
        <w:tc>
          <w:tcPr>
            <w:tcW w:w="7088" w:type="dxa"/>
          </w:tcPr>
          <w:p w:rsidR="00A65D96" w:rsidRDefault="00A65D96" w:rsidP="00A65D96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GD7 QA og godkendelse af servicespecifikation i det aftalte format</w:t>
            </w:r>
            <w:r>
              <w:rPr>
                <w:rStyle w:val="Fodnotehenvisning"/>
                <w:lang w:eastAsia="da-DK"/>
              </w:rPr>
              <w:footnoteReference w:id="1"/>
            </w:r>
            <w:r>
              <w:rPr>
                <w:lang w:eastAsia="da-DK"/>
              </w:rPr>
              <w:t>, priorit</w:t>
            </w:r>
            <w:r>
              <w:rPr>
                <w:lang w:eastAsia="da-DK"/>
              </w:rPr>
              <w:t>e</w:t>
            </w:r>
            <w:r>
              <w:rPr>
                <w:lang w:eastAsia="da-DK"/>
              </w:rPr>
              <w:t xml:space="preserve">ring af udvikling samt klargøring af servicebestillinger til Datafordelerens leverandør. </w:t>
            </w:r>
            <w:r>
              <w:rPr>
                <w:lang w:eastAsia="da-DK"/>
              </w:rPr>
              <w:br/>
              <w:t>Hvor lang tid skal GD7/DIGST have til denne proces?</w:t>
            </w:r>
          </w:p>
        </w:tc>
        <w:tc>
          <w:tcPr>
            <w:tcW w:w="1134" w:type="dxa"/>
          </w:tcPr>
          <w:p w:rsidR="00A65D96" w:rsidRPr="00B34CCF" w:rsidRDefault="00A65D96" w:rsidP="00CB7F1A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298" w:type="dxa"/>
          </w:tcPr>
          <w:p w:rsidR="00A65D96" w:rsidRDefault="00A65D96" w:rsidP="00CB7F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B222D5" w:rsidTr="00CB7F1A">
        <w:trPr>
          <w:cantSplit/>
        </w:trPr>
        <w:tc>
          <w:tcPr>
            <w:tcW w:w="7088" w:type="dxa"/>
          </w:tcPr>
          <w:p w:rsidR="00B222D5" w:rsidRDefault="00424876" w:rsidP="00424876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Udvikling og leverandørtest af services</w:t>
            </w:r>
            <w:r w:rsidR="005C5CA6">
              <w:rPr>
                <w:lang w:eastAsia="da-DK"/>
              </w:rPr>
              <w:t xml:space="preserve"> – fra bestilling til levering i testmiljø.</w:t>
            </w:r>
          </w:p>
          <w:p w:rsidR="005C5CA6" w:rsidRPr="005C5CA6" w:rsidRDefault="005C5CA6" w:rsidP="00424876">
            <w:pPr>
              <w:spacing w:before="40" w:after="40"/>
              <w:rPr>
                <w:i/>
                <w:lang w:eastAsia="da-DK"/>
              </w:rPr>
            </w:pPr>
            <w:r w:rsidRPr="005C5CA6">
              <w:rPr>
                <w:i/>
                <w:lang w:eastAsia="da-DK"/>
              </w:rPr>
              <w:t>(Tidligere aftalt til max 3 måneder fra aflevering til leverandør)</w:t>
            </w:r>
          </w:p>
        </w:tc>
        <w:tc>
          <w:tcPr>
            <w:tcW w:w="1134" w:type="dxa"/>
          </w:tcPr>
          <w:p w:rsidR="00B222D5" w:rsidRPr="00B34CCF" w:rsidRDefault="00B222D5" w:rsidP="00CB7F1A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298" w:type="dxa"/>
          </w:tcPr>
          <w:p w:rsidR="00B222D5" w:rsidRDefault="005C5CA6" w:rsidP="00CB7F1A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3 måneder</w:t>
            </w:r>
            <w:r w:rsidR="00B247FB">
              <w:rPr>
                <w:rStyle w:val="Fodnotehenvisning"/>
                <w:lang w:eastAsia="da-DK"/>
              </w:rPr>
              <w:footnoteReference w:id="2"/>
            </w:r>
          </w:p>
        </w:tc>
      </w:tr>
      <w:tr w:rsidR="00B222D5" w:rsidTr="00CB7F1A">
        <w:trPr>
          <w:cantSplit/>
        </w:trPr>
        <w:tc>
          <w:tcPr>
            <w:tcW w:w="7088" w:type="dxa"/>
          </w:tcPr>
          <w:p w:rsidR="00B222D5" w:rsidRDefault="00B222D5" w:rsidP="00424876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34" w:type="dxa"/>
          </w:tcPr>
          <w:p w:rsidR="00B222D5" w:rsidRPr="00B34CCF" w:rsidRDefault="00B222D5" w:rsidP="00CB7F1A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298" w:type="dxa"/>
          </w:tcPr>
          <w:p w:rsidR="00B222D5" w:rsidRDefault="00B222D5" w:rsidP="00CB7F1A">
            <w:pPr>
              <w:spacing w:before="40" w:after="40"/>
              <w:jc w:val="center"/>
              <w:rPr>
                <w:lang w:eastAsia="da-DK"/>
              </w:rPr>
            </w:pPr>
          </w:p>
        </w:tc>
      </w:tr>
    </w:tbl>
    <w:p w:rsidR="00B222D5" w:rsidRDefault="00B222D5" w:rsidP="00B222D5">
      <w:pPr>
        <w:spacing w:after="120"/>
        <w:rPr>
          <w:lang w:eastAsia="da-DK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1134"/>
        <w:gridCol w:w="1298"/>
      </w:tblGrid>
      <w:tr w:rsidR="00B222D5" w:rsidRPr="00A20598" w:rsidTr="00CB7F1A">
        <w:trPr>
          <w:cantSplit/>
          <w:tblHeader/>
        </w:trPr>
        <w:tc>
          <w:tcPr>
            <w:tcW w:w="7088" w:type="dxa"/>
            <w:shd w:val="clear" w:color="auto" w:fill="B6DDE8" w:themeFill="accent5" w:themeFillTint="66"/>
          </w:tcPr>
          <w:p w:rsidR="00B222D5" w:rsidRPr="00A20598" w:rsidRDefault="00B222D5" w:rsidP="00B222D5">
            <w:pPr>
              <w:spacing w:before="40" w:after="40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Implementering af hæ</w:t>
            </w:r>
            <w:r w:rsidR="005B2230">
              <w:rPr>
                <w:b/>
                <w:lang w:eastAsia="da-DK"/>
              </w:rPr>
              <w:t>ndelsesbeskeder på Datafordeler/</w:t>
            </w:r>
            <w:r>
              <w:rPr>
                <w:b/>
                <w:lang w:eastAsia="da-DK"/>
              </w:rPr>
              <w:t>Beskedfordeler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222D5" w:rsidRPr="00A20598" w:rsidRDefault="00B222D5" w:rsidP="00CB7F1A">
            <w:pPr>
              <w:spacing w:before="40" w:after="40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Minimum</w:t>
            </w:r>
          </w:p>
        </w:tc>
        <w:tc>
          <w:tcPr>
            <w:tcW w:w="1298" w:type="dxa"/>
            <w:shd w:val="clear" w:color="auto" w:fill="B6DDE8" w:themeFill="accent5" w:themeFillTint="66"/>
          </w:tcPr>
          <w:p w:rsidR="00B222D5" w:rsidRPr="00A20598" w:rsidRDefault="00B222D5" w:rsidP="00CB7F1A">
            <w:pPr>
              <w:spacing w:before="40" w:after="40"/>
              <w:jc w:val="center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Maksimalt</w:t>
            </w:r>
          </w:p>
        </w:tc>
      </w:tr>
      <w:tr w:rsidR="005C5CA6" w:rsidTr="00CB7F1A">
        <w:trPr>
          <w:cantSplit/>
        </w:trPr>
        <w:tc>
          <w:tcPr>
            <w:tcW w:w="7088" w:type="dxa"/>
          </w:tcPr>
          <w:p w:rsidR="005C5CA6" w:rsidRDefault="005C5CA6" w:rsidP="00A65D96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GD7 QA </w:t>
            </w:r>
            <w:r w:rsidR="00E46DB3">
              <w:rPr>
                <w:lang w:eastAsia="da-DK"/>
              </w:rPr>
              <w:t xml:space="preserve">og godkendelse </w:t>
            </w:r>
            <w:r>
              <w:rPr>
                <w:lang w:eastAsia="da-DK"/>
              </w:rPr>
              <w:t xml:space="preserve">af </w:t>
            </w:r>
            <w:r w:rsidR="00A65D96">
              <w:rPr>
                <w:lang w:eastAsia="da-DK"/>
              </w:rPr>
              <w:t>specifikationer</w:t>
            </w:r>
            <w:r>
              <w:rPr>
                <w:lang w:eastAsia="da-DK"/>
              </w:rPr>
              <w:t xml:space="preserve"> af hændelsesbeskeder</w:t>
            </w:r>
            <w:r w:rsidR="00A65D96">
              <w:rPr>
                <w:lang w:eastAsia="da-DK"/>
              </w:rPr>
              <w:t xml:space="preserve"> i det afta</w:t>
            </w:r>
            <w:r w:rsidR="00A65D96">
              <w:rPr>
                <w:lang w:eastAsia="da-DK"/>
              </w:rPr>
              <w:t>l</w:t>
            </w:r>
            <w:r w:rsidR="00A65D96">
              <w:rPr>
                <w:lang w:eastAsia="da-DK"/>
              </w:rPr>
              <w:t>te format</w:t>
            </w:r>
            <w:r w:rsidR="00A65D96">
              <w:rPr>
                <w:rStyle w:val="Fodnotehenvisning"/>
                <w:lang w:eastAsia="da-DK"/>
              </w:rPr>
              <w:footnoteReference w:id="3"/>
            </w:r>
            <w:r>
              <w:rPr>
                <w:lang w:eastAsia="da-DK"/>
              </w:rPr>
              <w:t>, prioritering af udvikling samt klargøring af bestillinger til Dat</w:t>
            </w:r>
            <w:r>
              <w:rPr>
                <w:lang w:eastAsia="da-DK"/>
              </w:rPr>
              <w:t>a</w:t>
            </w:r>
            <w:r>
              <w:rPr>
                <w:lang w:eastAsia="da-DK"/>
              </w:rPr>
              <w:t xml:space="preserve">fordelerens leverandør. </w:t>
            </w:r>
            <w:r>
              <w:rPr>
                <w:lang w:eastAsia="da-DK"/>
              </w:rPr>
              <w:br/>
              <w:t>Hvor lang tid skal GD7/DIGST have til denne proces?</w:t>
            </w:r>
          </w:p>
        </w:tc>
        <w:tc>
          <w:tcPr>
            <w:tcW w:w="1134" w:type="dxa"/>
          </w:tcPr>
          <w:p w:rsidR="005C5CA6" w:rsidRPr="00B34CCF" w:rsidRDefault="005C5CA6" w:rsidP="00CB7F1A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298" w:type="dxa"/>
          </w:tcPr>
          <w:p w:rsidR="005C5CA6" w:rsidRDefault="005C5CA6" w:rsidP="00CB7F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5C5CA6" w:rsidTr="00CB7F1A">
        <w:trPr>
          <w:cantSplit/>
        </w:trPr>
        <w:tc>
          <w:tcPr>
            <w:tcW w:w="7088" w:type="dxa"/>
          </w:tcPr>
          <w:p w:rsidR="005C5CA6" w:rsidRDefault="005B2230" w:rsidP="005C5CA6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Hændelsesbeskeder som skal genereres af Datafordeleren: </w:t>
            </w:r>
            <w:r>
              <w:rPr>
                <w:lang w:eastAsia="da-DK"/>
              </w:rPr>
              <w:br/>
            </w:r>
            <w:r w:rsidR="005C5CA6">
              <w:rPr>
                <w:lang w:eastAsia="da-DK"/>
              </w:rPr>
              <w:t>Udvikling og leverandørtest af hændelsesbeskeder – fra bestilling til levering i tes</w:t>
            </w:r>
            <w:r>
              <w:rPr>
                <w:lang w:eastAsia="da-DK"/>
              </w:rPr>
              <w:t xml:space="preserve">tmiljø. </w:t>
            </w:r>
          </w:p>
        </w:tc>
        <w:tc>
          <w:tcPr>
            <w:tcW w:w="1134" w:type="dxa"/>
          </w:tcPr>
          <w:p w:rsidR="005C5CA6" w:rsidRPr="00B34CCF" w:rsidRDefault="005C5CA6" w:rsidP="00CB7F1A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298" w:type="dxa"/>
          </w:tcPr>
          <w:p w:rsidR="005C5CA6" w:rsidRDefault="005C5CA6" w:rsidP="00CB7F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5C5CA6" w:rsidTr="00CB7F1A">
        <w:trPr>
          <w:cantSplit/>
        </w:trPr>
        <w:tc>
          <w:tcPr>
            <w:tcW w:w="7088" w:type="dxa"/>
          </w:tcPr>
          <w:p w:rsidR="005C5CA6" w:rsidRDefault="005B2230" w:rsidP="005B2230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lastRenderedPageBreak/>
              <w:t>Hændelsesbeskeder som leveres af Grunddataregister eller andre registre i det aftalte format</w:t>
            </w:r>
            <w:r w:rsidR="00A65D96">
              <w:rPr>
                <w:lang w:eastAsia="da-DK"/>
              </w:rPr>
              <w:t xml:space="preserve"> for hændelsesbeskeder</w:t>
            </w:r>
            <w:r>
              <w:rPr>
                <w:lang w:eastAsia="da-DK"/>
              </w:rPr>
              <w:t>:</w:t>
            </w:r>
            <w:r>
              <w:rPr>
                <w:lang w:eastAsia="da-DK"/>
              </w:rPr>
              <w:br/>
              <w:t>U</w:t>
            </w:r>
            <w:r w:rsidR="005C5CA6">
              <w:rPr>
                <w:lang w:eastAsia="da-DK"/>
              </w:rPr>
              <w:t xml:space="preserve">dvikling og leverandørtest af hændelsesbeskeder – fra bestilling til levering i testmiljø. </w:t>
            </w:r>
          </w:p>
        </w:tc>
        <w:tc>
          <w:tcPr>
            <w:tcW w:w="1134" w:type="dxa"/>
          </w:tcPr>
          <w:p w:rsidR="005C5CA6" w:rsidRPr="00B34CCF" w:rsidRDefault="005C5CA6" w:rsidP="00CB7F1A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298" w:type="dxa"/>
          </w:tcPr>
          <w:p w:rsidR="005C5CA6" w:rsidRDefault="005C5CA6" w:rsidP="00CB7F1A">
            <w:pPr>
              <w:spacing w:before="40" w:after="40"/>
              <w:jc w:val="center"/>
              <w:rPr>
                <w:lang w:eastAsia="da-DK"/>
              </w:rPr>
            </w:pPr>
          </w:p>
        </w:tc>
      </w:tr>
    </w:tbl>
    <w:p w:rsidR="00FE537B" w:rsidRPr="00621C1A" w:rsidRDefault="00FE537B" w:rsidP="00FE537B">
      <w:pPr>
        <w:spacing w:after="120"/>
        <w:rPr>
          <w:lang w:eastAsia="da-DK"/>
        </w:rPr>
      </w:pPr>
    </w:p>
    <w:p w:rsidR="00621C1A" w:rsidRPr="001E035B" w:rsidRDefault="00621C1A" w:rsidP="00621C1A">
      <w:pPr>
        <w:pStyle w:val="Overskrift2"/>
        <w:rPr>
          <w:b/>
        </w:rPr>
      </w:pPr>
      <w:r w:rsidRPr="001E035B">
        <w:rPr>
          <w:b/>
        </w:rPr>
        <w:t>Agenda punkt 3: Forventningsafstemning – Roller &amp; Ansvar</w:t>
      </w:r>
    </w:p>
    <w:p w:rsidR="001E035B" w:rsidRDefault="00A30ADE" w:rsidP="00A30ADE">
      <w:pPr>
        <w:spacing w:after="120"/>
        <w:rPr>
          <w:lang w:eastAsia="da-DK"/>
        </w:rPr>
      </w:pPr>
      <w:r>
        <w:rPr>
          <w:lang w:eastAsia="da-DK"/>
        </w:rPr>
        <w:t xml:space="preserve">Her skal vi have konkretiseret ansvar for en række af de opgaver, som har betydning for replanlægningen og dennes arbejdspakker, og som ellers nemt kan havne ”mellem to stole”. </w:t>
      </w:r>
      <w:r w:rsidR="005C5CA6">
        <w:rPr>
          <w:lang w:eastAsia="da-DK"/>
        </w:rPr>
        <w:t xml:space="preserve">Såfremt opgaver ligger helt eller delvist i GD1/GD2 skal replanlægningen tage højde herfor. </w:t>
      </w:r>
    </w:p>
    <w:p w:rsidR="00621C1A" w:rsidRDefault="00A30ADE" w:rsidP="001E035B">
      <w:pPr>
        <w:spacing w:after="240"/>
        <w:rPr>
          <w:lang w:eastAsia="da-DK"/>
        </w:rPr>
      </w:pPr>
      <w:r>
        <w:rPr>
          <w:lang w:eastAsia="da-DK"/>
        </w:rPr>
        <w:t xml:space="preserve">Nedenstående tabel er et første bud på </w:t>
      </w:r>
      <w:r w:rsidR="001E035B">
        <w:rPr>
          <w:lang w:eastAsia="da-DK"/>
        </w:rPr>
        <w:t xml:space="preserve">nogle af </w:t>
      </w:r>
      <w:r>
        <w:rPr>
          <w:lang w:eastAsia="da-DK"/>
        </w:rPr>
        <w:t>disse</w:t>
      </w:r>
      <w:r w:rsidR="001E035B">
        <w:rPr>
          <w:lang w:eastAsia="da-DK"/>
        </w:rPr>
        <w:t xml:space="preserve"> opgaver</w:t>
      </w:r>
      <w:r>
        <w:rPr>
          <w:lang w:eastAsia="da-DK"/>
        </w:rPr>
        <w:t xml:space="preserve">, men den skal formentlig suppleres med en hel del flere opgaver.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783"/>
      </w:tblGrid>
      <w:tr w:rsidR="00A30ADE" w:rsidRPr="00A20598" w:rsidTr="000159BA">
        <w:trPr>
          <w:cantSplit/>
          <w:tblHeader/>
        </w:trPr>
        <w:tc>
          <w:tcPr>
            <w:tcW w:w="6946" w:type="dxa"/>
            <w:shd w:val="clear" w:color="auto" w:fill="B6DDE8" w:themeFill="accent5" w:themeFillTint="66"/>
          </w:tcPr>
          <w:p w:rsidR="00A30ADE" w:rsidRPr="00A20598" w:rsidRDefault="00A30ADE" w:rsidP="00A30ADE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 xml:space="preserve">Væsentlige </w:t>
            </w:r>
            <w:r>
              <w:rPr>
                <w:b/>
                <w:lang w:eastAsia="da-DK"/>
              </w:rPr>
              <w:t>roller &amp; ansvar til fælles afklaring</w:t>
            </w:r>
          </w:p>
        </w:tc>
        <w:tc>
          <w:tcPr>
            <w:tcW w:w="2783" w:type="dxa"/>
            <w:shd w:val="clear" w:color="auto" w:fill="B6DDE8" w:themeFill="accent5" w:themeFillTint="66"/>
          </w:tcPr>
          <w:p w:rsidR="00A30ADE" w:rsidRPr="00A20598" w:rsidRDefault="00A30ADE" w:rsidP="00A30ADE">
            <w:pPr>
              <w:spacing w:before="40" w:after="40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Ansvarsplacering</w:t>
            </w:r>
          </w:p>
        </w:tc>
      </w:tr>
      <w:tr w:rsidR="00A30ADE" w:rsidTr="000159BA">
        <w:trPr>
          <w:cantSplit/>
        </w:trPr>
        <w:tc>
          <w:tcPr>
            <w:tcW w:w="6946" w:type="dxa"/>
          </w:tcPr>
          <w:p w:rsidR="00A30ADE" w:rsidRDefault="00A30ADE" w:rsidP="00CB7F1A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Sikkerhedsløsning – Implementering af den fælles infrastruktur på tværs af Datafordeler, GD-systemer, anvendere som KOMBIT mv.</w:t>
            </w:r>
          </w:p>
          <w:p w:rsidR="00EB1089" w:rsidRDefault="00EB1089" w:rsidP="00CB7F1A">
            <w:pPr>
              <w:spacing w:before="40" w:after="40"/>
              <w:rPr>
                <w:rFonts w:ascii="Calibri" w:hAnsi="Calibri"/>
                <w:color w:val="000000"/>
              </w:rPr>
            </w:pPr>
          </w:p>
          <w:p w:rsidR="00532F95" w:rsidRDefault="000B109D" w:rsidP="00532F95">
            <w:pPr>
              <w:pStyle w:val="Listeafsnit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  <w:color w:val="00B050"/>
              </w:rPr>
            </w:pPr>
            <w:r w:rsidRPr="00532F95">
              <w:rPr>
                <w:rFonts w:ascii="Calibri" w:hAnsi="Calibri"/>
                <w:color w:val="00B050"/>
              </w:rPr>
              <w:t>Der e</w:t>
            </w:r>
            <w:r w:rsidR="00EB1089" w:rsidRPr="00532F95">
              <w:rPr>
                <w:rFonts w:ascii="Calibri" w:hAnsi="Calibri"/>
                <w:color w:val="00B050"/>
              </w:rPr>
              <w:t>tablere</w:t>
            </w:r>
            <w:r w:rsidRPr="00532F95">
              <w:rPr>
                <w:rFonts w:ascii="Calibri" w:hAnsi="Calibri"/>
                <w:color w:val="00B050"/>
              </w:rPr>
              <w:t>s</w:t>
            </w:r>
            <w:r w:rsidR="00EB1089" w:rsidRPr="00532F95">
              <w:rPr>
                <w:rFonts w:ascii="Calibri" w:hAnsi="Calibri"/>
                <w:color w:val="00B050"/>
              </w:rPr>
              <w:t xml:space="preserve"> STS</w:t>
            </w:r>
            <w:r w:rsidRPr="00532F95">
              <w:rPr>
                <w:rFonts w:ascii="Calibri" w:hAnsi="Calibri"/>
                <w:color w:val="00B050"/>
              </w:rPr>
              <w:t>,</w:t>
            </w:r>
            <w:r w:rsidR="00326F19">
              <w:rPr>
                <w:rFonts w:ascii="Calibri" w:hAnsi="Calibri"/>
                <w:color w:val="00B050"/>
              </w:rPr>
              <w:t xml:space="preserve"> som kan ud</w:t>
            </w:r>
            <w:r w:rsidR="000C54F1">
              <w:rPr>
                <w:rFonts w:ascii="Calibri" w:hAnsi="Calibri"/>
                <w:color w:val="00B050"/>
              </w:rPr>
              <w:t>stede</w:t>
            </w:r>
            <w:r w:rsidR="00326F19">
              <w:rPr>
                <w:rFonts w:ascii="Calibri" w:hAnsi="Calibri"/>
                <w:color w:val="00B050"/>
              </w:rPr>
              <w:t xml:space="preserve"> </w:t>
            </w:r>
            <w:proofErr w:type="spellStart"/>
            <w:r w:rsidR="00326F19">
              <w:rPr>
                <w:rFonts w:ascii="Calibri" w:hAnsi="Calibri"/>
                <w:color w:val="00B050"/>
              </w:rPr>
              <w:t>tokens</w:t>
            </w:r>
            <w:proofErr w:type="spellEnd"/>
            <w:r w:rsidR="000C54F1">
              <w:rPr>
                <w:rFonts w:ascii="Calibri" w:hAnsi="Calibri"/>
                <w:color w:val="00B050"/>
              </w:rPr>
              <w:t>.</w:t>
            </w:r>
          </w:p>
          <w:p w:rsidR="00532F95" w:rsidRDefault="00EB1089" w:rsidP="00CB7F1A">
            <w:pPr>
              <w:pStyle w:val="Listeafsnit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  <w:color w:val="00B050"/>
              </w:rPr>
            </w:pPr>
            <w:r w:rsidRPr="00532F95">
              <w:rPr>
                <w:rFonts w:ascii="Calibri" w:hAnsi="Calibri"/>
                <w:color w:val="00B050"/>
              </w:rPr>
              <w:t xml:space="preserve">Alle registre har et ansvar for at </w:t>
            </w:r>
            <w:r w:rsidR="000C54F1">
              <w:rPr>
                <w:rFonts w:ascii="Calibri" w:hAnsi="Calibri"/>
                <w:color w:val="00B050"/>
              </w:rPr>
              <w:t>kunne modtage og afsende</w:t>
            </w:r>
            <w:r w:rsidRPr="00532F95">
              <w:rPr>
                <w:rFonts w:ascii="Calibri" w:hAnsi="Calibri"/>
                <w:color w:val="00B050"/>
              </w:rPr>
              <w:t xml:space="preserve"> </w:t>
            </w:r>
            <w:r w:rsidR="000C54F1">
              <w:rPr>
                <w:rFonts w:ascii="Calibri" w:hAnsi="Calibri"/>
                <w:color w:val="00B050"/>
              </w:rPr>
              <w:t>tokens med de relevante rolleprofiler (”</w:t>
            </w:r>
            <w:proofErr w:type="spellStart"/>
            <w:r w:rsidRPr="00532F95">
              <w:rPr>
                <w:rFonts w:ascii="Calibri" w:hAnsi="Calibri"/>
                <w:color w:val="00B050"/>
              </w:rPr>
              <w:t>claims</w:t>
            </w:r>
            <w:proofErr w:type="spellEnd"/>
            <w:r w:rsidR="000C54F1">
              <w:rPr>
                <w:rFonts w:ascii="Calibri" w:hAnsi="Calibri"/>
                <w:color w:val="00B050"/>
              </w:rPr>
              <w:t>”)</w:t>
            </w:r>
            <w:r w:rsidRPr="00532F95">
              <w:rPr>
                <w:rFonts w:ascii="Calibri" w:hAnsi="Calibri"/>
                <w:color w:val="00B050"/>
              </w:rPr>
              <w:t>.</w:t>
            </w:r>
          </w:p>
          <w:p w:rsidR="00532F95" w:rsidRDefault="004C10A7" w:rsidP="00CB7F1A">
            <w:pPr>
              <w:pStyle w:val="Listeafsnit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  <w:color w:val="00B050"/>
              </w:rPr>
            </w:pPr>
            <w:proofErr w:type="spellStart"/>
            <w:r w:rsidRPr="00532F95">
              <w:rPr>
                <w:rFonts w:ascii="Calibri" w:hAnsi="Calibri"/>
                <w:color w:val="00B050"/>
              </w:rPr>
              <w:t>Nemlogin</w:t>
            </w:r>
            <w:proofErr w:type="spellEnd"/>
            <w:r w:rsidRPr="00532F95">
              <w:rPr>
                <w:rFonts w:ascii="Calibri" w:hAnsi="Calibri"/>
                <w:color w:val="00B050"/>
              </w:rPr>
              <w:t xml:space="preserve"> ansvarlig for specifikation</w:t>
            </w:r>
            <w:r w:rsidR="00B247FB">
              <w:rPr>
                <w:rFonts w:ascii="Calibri" w:hAnsi="Calibri"/>
                <w:color w:val="00B050"/>
              </w:rPr>
              <w:t>en og etablering af STS</w:t>
            </w:r>
            <w:r w:rsidR="002C1A5F">
              <w:rPr>
                <w:rFonts w:ascii="Calibri" w:hAnsi="Calibri"/>
                <w:color w:val="00B050"/>
              </w:rPr>
              <w:t xml:space="preserve"> i fæ</w:t>
            </w:r>
            <w:r w:rsidR="002C1A5F">
              <w:rPr>
                <w:rFonts w:ascii="Calibri" w:hAnsi="Calibri"/>
                <w:color w:val="00B050"/>
              </w:rPr>
              <w:t>l</w:t>
            </w:r>
            <w:r w:rsidR="002C1A5F">
              <w:rPr>
                <w:rFonts w:ascii="Calibri" w:hAnsi="Calibri"/>
                <w:color w:val="00B050"/>
              </w:rPr>
              <w:t>lesoffentlig regi</w:t>
            </w:r>
            <w:r w:rsidRPr="00532F95">
              <w:rPr>
                <w:rFonts w:ascii="Calibri" w:hAnsi="Calibri"/>
                <w:color w:val="00B050"/>
              </w:rPr>
              <w:t>.</w:t>
            </w:r>
          </w:p>
          <w:p w:rsidR="00532F95" w:rsidRDefault="00EB1089" w:rsidP="00CB7F1A">
            <w:pPr>
              <w:pStyle w:val="Listeafsnit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  <w:color w:val="00B050"/>
              </w:rPr>
            </w:pPr>
            <w:r w:rsidRPr="00532F95">
              <w:rPr>
                <w:rFonts w:ascii="Calibri" w:hAnsi="Calibri"/>
                <w:color w:val="00B050"/>
              </w:rPr>
              <w:t>Ansvaret for implementering af fælles sikkerhedsløsning (fælles test)</w:t>
            </w:r>
          </w:p>
          <w:p w:rsidR="00EB1089" w:rsidRPr="00532F95" w:rsidRDefault="00EB1089" w:rsidP="00CB7F1A">
            <w:pPr>
              <w:pStyle w:val="Listeafsnit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  <w:color w:val="00B050"/>
              </w:rPr>
            </w:pPr>
            <w:r w:rsidRPr="00532F95">
              <w:rPr>
                <w:rFonts w:ascii="Calibri" w:hAnsi="Calibri"/>
                <w:color w:val="00B050"/>
              </w:rPr>
              <w:t>Operatøransvaret ligger hos GST</w:t>
            </w:r>
            <w:r w:rsidR="004C10A7" w:rsidRPr="00532F95">
              <w:rPr>
                <w:rFonts w:ascii="Calibri" w:hAnsi="Calibri"/>
                <w:color w:val="00B050"/>
              </w:rPr>
              <w:t xml:space="preserve"> (en der </w:t>
            </w:r>
            <w:r w:rsidR="00532F95">
              <w:rPr>
                <w:rFonts w:ascii="Calibri" w:hAnsi="Calibri"/>
                <w:color w:val="00B050"/>
              </w:rPr>
              <w:t xml:space="preserve">er </w:t>
            </w:r>
            <w:r w:rsidR="004C10A7" w:rsidRPr="00532F95">
              <w:rPr>
                <w:rFonts w:ascii="Calibri" w:hAnsi="Calibri"/>
                <w:color w:val="00B050"/>
              </w:rPr>
              <w:t>postkasse og en der er ansvarlig)</w:t>
            </w:r>
          </w:p>
        </w:tc>
        <w:tc>
          <w:tcPr>
            <w:tcW w:w="2783" w:type="dxa"/>
          </w:tcPr>
          <w:p w:rsidR="00A30ADE" w:rsidRDefault="004C10A7" w:rsidP="000B109D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DF-operatør</w:t>
            </w:r>
          </w:p>
        </w:tc>
      </w:tr>
      <w:tr w:rsidR="00B222D5" w:rsidTr="000159BA">
        <w:trPr>
          <w:cantSplit/>
        </w:trPr>
        <w:tc>
          <w:tcPr>
            <w:tcW w:w="6946" w:type="dxa"/>
          </w:tcPr>
          <w:p w:rsidR="00B222D5" w:rsidRDefault="00B222D5" w:rsidP="00CB7F1A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Sikkerhedsmodel – fastlæggelse og beskrivelse af tilhørende procedurer, indgåelse af nødvendige aftaler mv.</w:t>
            </w:r>
          </w:p>
          <w:p w:rsidR="00522D17" w:rsidRDefault="00522D17" w:rsidP="00CB7F1A">
            <w:pPr>
              <w:spacing w:before="40" w:after="40"/>
              <w:rPr>
                <w:rFonts w:ascii="Calibri" w:hAnsi="Calibri"/>
                <w:color w:val="000000"/>
              </w:rPr>
            </w:pPr>
          </w:p>
          <w:p w:rsidR="00522D17" w:rsidRPr="00236768" w:rsidRDefault="00236768" w:rsidP="00236768">
            <w:pPr>
              <w:pStyle w:val="Listeafsnit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  <w:color w:val="000000"/>
              </w:rPr>
            </w:pPr>
            <w:r w:rsidRPr="00236768">
              <w:rPr>
                <w:rFonts w:ascii="Calibri" w:hAnsi="Calibri"/>
                <w:color w:val="00B050"/>
              </w:rPr>
              <w:t xml:space="preserve">Dette omfatter også </w:t>
            </w:r>
            <w:r w:rsidR="00522D17" w:rsidRPr="00236768">
              <w:rPr>
                <w:rFonts w:ascii="Calibri" w:hAnsi="Calibri"/>
                <w:color w:val="00B050"/>
              </w:rPr>
              <w:t>filudtræk</w:t>
            </w:r>
          </w:p>
        </w:tc>
        <w:tc>
          <w:tcPr>
            <w:tcW w:w="2783" w:type="dxa"/>
          </w:tcPr>
          <w:p w:rsidR="00B222D5" w:rsidRDefault="00326F19" w:rsidP="00A30AD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DF-operatør</w:t>
            </w:r>
          </w:p>
        </w:tc>
      </w:tr>
      <w:tr w:rsidR="00A30ADE" w:rsidTr="000159BA">
        <w:trPr>
          <w:cantSplit/>
        </w:trPr>
        <w:tc>
          <w:tcPr>
            <w:tcW w:w="6946" w:type="dxa"/>
          </w:tcPr>
          <w:p w:rsidR="00A30ADE" w:rsidRDefault="00A30ADE" w:rsidP="00A30ADE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Specifikation af datamodel genererede metadataservices på Datafordeler, dvs. de metadataservices der kan genereres ud fra</w:t>
            </w:r>
            <w:r w:rsidR="00CB7F1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datamodeller, som overholder de generelle modelleringsregler.</w:t>
            </w:r>
          </w:p>
          <w:p w:rsidR="004C10A7" w:rsidRDefault="004C10A7" w:rsidP="00A30ADE">
            <w:pPr>
              <w:spacing w:before="40" w:after="40"/>
              <w:rPr>
                <w:rFonts w:ascii="Calibri" w:hAnsi="Calibri"/>
                <w:color w:val="000000"/>
              </w:rPr>
            </w:pPr>
          </w:p>
          <w:p w:rsidR="004C10A7" w:rsidRPr="009B59A2" w:rsidRDefault="004C10A7" w:rsidP="009B59A2">
            <w:pPr>
              <w:pStyle w:val="Listeafsnit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  <w:color w:val="000000"/>
              </w:rPr>
            </w:pPr>
            <w:r w:rsidRPr="009B59A2">
              <w:rPr>
                <w:rFonts w:ascii="Calibri" w:hAnsi="Calibri"/>
                <w:color w:val="00B050"/>
              </w:rPr>
              <w:t xml:space="preserve">Hvis der er leveret metadata i metadatakataloget, så er det </w:t>
            </w:r>
            <w:r w:rsidR="009B59A2">
              <w:rPr>
                <w:rFonts w:ascii="Calibri" w:hAnsi="Calibri"/>
                <w:color w:val="00B050"/>
              </w:rPr>
              <w:t xml:space="preserve">DIGST (GD8) </w:t>
            </w:r>
            <w:r w:rsidRPr="009B59A2">
              <w:rPr>
                <w:rFonts w:ascii="Calibri" w:hAnsi="Calibri"/>
                <w:color w:val="00B050"/>
              </w:rPr>
              <w:t>ansvar</w:t>
            </w:r>
          </w:p>
        </w:tc>
        <w:tc>
          <w:tcPr>
            <w:tcW w:w="2783" w:type="dxa"/>
          </w:tcPr>
          <w:p w:rsidR="00A30ADE" w:rsidRDefault="00D07AFD" w:rsidP="00A30AD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GD8</w:t>
            </w:r>
            <w:r w:rsidR="00A9231C">
              <w:rPr>
                <w:lang w:eastAsia="da-DK"/>
              </w:rPr>
              <w:t xml:space="preserve"> (under etablering)</w:t>
            </w:r>
          </w:p>
        </w:tc>
      </w:tr>
      <w:tr w:rsidR="00A30ADE" w:rsidTr="000159BA">
        <w:trPr>
          <w:cantSplit/>
        </w:trPr>
        <w:tc>
          <w:tcPr>
            <w:tcW w:w="6946" w:type="dxa"/>
          </w:tcPr>
          <w:p w:rsidR="00A30ADE" w:rsidRDefault="00A30ADE" w:rsidP="00CB7F1A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Test af sikkerhed i relation til services og hændelsesbeskeder udstillet på Datafordeleren.</w:t>
            </w:r>
          </w:p>
          <w:p w:rsidR="004C10A7" w:rsidRDefault="004C10A7" w:rsidP="00CB7F1A">
            <w:pPr>
              <w:spacing w:before="40" w:after="40"/>
              <w:rPr>
                <w:rFonts w:ascii="Calibri" w:hAnsi="Calibri"/>
                <w:color w:val="000000"/>
              </w:rPr>
            </w:pPr>
          </w:p>
          <w:p w:rsidR="004C10A7" w:rsidRPr="009B59A2" w:rsidRDefault="009B59A2" w:rsidP="009B59A2">
            <w:pPr>
              <w:pStyle w:val="Listeafsnit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B050"/>
              </w:rPr>
              <w:t>Kan f.eks. omfatter performance</w:t>
            </w:r>
            <w:r w:rsidR="004C10A7" w:rsidRPr="009B59A2">
              <w:rPr>
                <w:rFonts w:ascii="Calibri" w:hAnsi="Calibri"/>
                <w:color w:val="00B050"/>
              </w:rPr>
              <w:t xml:space="preserve"> og sikkerhed </w:t>
            </w:r>
          </w:p>
        </w:tc>
        <w:tc>
          <w:tcPr>
            <w:tcW w:w="2783" w:type="dxa"/>
          </w:tcPr>
          <w:p w:rsidR="00A30ADE" w:rsidRDefault="004C10A7" w:rsidP="00A30AD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Testen er en fælles test men bliver ledet af DF-operatøren (GST/DF)</w:t>
            </w:r>
          </w:p>
          <w:p w:rsidR="004C10A7" w:rsidRDefault="004C10A7" w:rsidP="00A30AD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Registrene skal stille re</w:t>
            </w:r>
            <w:r>
              <w:rPr>
                <w:lang w:eastAsia="da-DK"/>
              </w:rPr>
              <w:t>s</w:t>
            </w:r>
            <w:r>
              <w:rPr>
                <w:lang w:eastAsia="da-DK"/>
              </w:rPr>
              <w:t>sourcer til rådighed</w:t>
            </w:r>
          </w:p>
        </w:tc>
      </w:tr>
      <w:tr w:rsidR="00CB7F1A" w:rsidRPr="009B4E75" w:rsidTr="000159BA">
        <w:trPr>
          <w:cantSplit/>
        </w:trPr>
        <w:tc>
          <w:tcPr>
            <w:tcW w:w="6946" w:type="dxa"/>
          </w:tcPr>
          <w:p w:rsidR="00CB7F1A" w:rsidRDefault="00CB7F1A" w:rsidP="00CB7F1A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Test af performance ift. services på Datafordeleren.</w:t>
            </w:r>
          </w:p>
          <w:p w:rsidR="00EF649B" w:rsidRDefault="00EF649B" w:rsidP="00CB7F1A">
            <w:pPr>
              <w:spacing w:before="40" w:after="40"/>
              <w:rPr>
                <w:rFonts w:ascii="Calibri" w:hAnsi="Calibri"/>
                <w:color w:val="000000"/>
              </w:rPr>
            </w:pPr>
          </w:p>
          <w:p w:rsidR="00EF649B" w:rsidRPr="00913820" w:rsidRDefault="00913820" w:rsidP="00913820">
            <w:pPr>
              <w:pStyle w:val="Listeafsnit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B050"/>
              </w:rPr>
              <w:t>Testdata skal være p</w:t>
            </w:r>
            <w:r w:rsidR="00EF649B" w:rsidRPr="00913820">
              <w:rPr>
                <w:rFonts w:ascii="Calibri" w:hAnsi="Calibri"/>
                <w:color w:val="00B050"/>
              </w:rPr>
              <w:t xml:space="preserve">roduktionslignende, </w:t>
            </w:r>
            <w:r>
              <w:rPr>
                <w:rFonts w:ascii="Calibri" w:hAnsi="Calibri"/>
                <w:color w:val="00B050"/>
              </w:rPr>
              <w:t xml:space="preserve">omfatte </w:t>
            </w:r>
            <w:r w:rsidR="00EF649B" w:rsidRPr="00913820">
              <w:rPr>
                <w:rFonts w:ascii="Calibri" w:hAnsi="Calibri"/>
                <w:color w:val="00B050"/>
              </w:rPr>
              <w:t xml:space="preserve">flere kommuner, </w:t>
            </w:r>
            <w:r>
              <w:rPr>
                <w:rFonts w:ascii="Calibri" w:hAnsi="Calibri"/>
                <w:color w:val="00B050"/>
              </w:rPr>
              <w:t xml:space="preserve">samt være </w:t>
            </w:r>
            <w:r w:rsidR="00EF649B" w:rsidRPr="00913820">
              <w:rPr>
                <w:rFonts w:ascii="Calibri" w:hAnsi="Calibri"/>
                <w:color w:val="00B050"/>
              </w:rPr>
              <w:t xml:space="preserve">tværgående </w:t>
            </w:r>
          </w:p>
        </w:tc>
        <w:tc>
          <w:tcPr>
            <w:tcW w:w="2783" w:type="dxa"/>
          </w:tcPr>
          <w:p w:rsidR="00CB7F1A" w:rsidRPr="009B4E75" w:rsidRDefault="009B4E75" w:rsidP="00CB7F1A">
            <w:pPr>
              <w:spacing w:before="40" w:after="40"/>
              <w:rPr>
                <w:lang w:val="en-US" w:eastAsia="da-DK"/>
              </w:rPr>
            </w:pPr>
            <w:r w:rsidRPr="009B4E75">
              <w:rPr>
                <w:lang w:val="en-US" w:eastAsia="da-DK"/>
              </w:rPr>
              <w:t>Governance GD1+2: Michael M. (MBBL)</w:t>
            </w:r>
          </w:p>
          <w:p w:rsidR="009B4E75" w:rsidRDefault="009B4E75" w:rsidP="00CB7F1A">
            <w:pPr>
              <w:spacing w:before="40" w:after="40"/>
              <w:rPr>
                <w:lang w:val="en-US" w:eastAsia="da-DK"/>
              </w:rPr>
            </w:pPr>
          </w:p>
          <w:p w:rsidR="009B4E75" w:rsidRDefault="009B4E75" w:rsidP="00CB7F1A">
            <w:pPr>
              <w:spacing w:before="40" w:after="40"/>
              <w:rPr>
                <w:lang w:val="en-US" w:eastAsia="da-DK"/>
              </w:rPr>
            </w:pPr>
            <w:r>
              <w:rPr>
                <w:lang w:val="en-US" w:eastAsia="da-DK"/>
              </w:rPr>
              <w:t>DF-</w:t>
            </w:r>
            <w:proofErr w:type="spellStart"/>
            <w:r>
              <w:rPr>
                <w:lang w:val="en-US" w:eastAsia="da-DK"/>
              </w:rPr>
              <w:t>operatør</w:t>
            </w:r>
            <w:proofErr w:type="spellEnd"/>
          </w:p>
          <w:p w:rsidR="009B4E75" w:rsidRDefault="009B4E75" w:rsidP="00CB7F1A">
            <w:pPr>
              <w:spacing w:before="40" w:after="40"/>
              <w:rPr>
                <w:lang w:val="en-US" w:eastAsia="da-DK"/>
              </w:rPr>
            </w:pPr>
            <w:r>
              <w:rPr>
                <w:lang w:val="en-US" w:eastAsia="da-DK"/>
              </w:rPr>
              <w:t xml:space="preserve">KMD </w:t>
            </w:r>
            <w:proofErr w:type="spellStart"/>
            <w:r>
              <w:rPr>
                <w:lang w:val="en-US" w:eastAsia="da-DK"/>
              </w:rPr>
              <w:t>testmanager</w:t>
            </w:r>
            <w:proofErr w:type="spellEnd"/>
            <w:r>
              <w:rPr>
                <w:lang w:val="en-US" w:eastAsia="da-DK"/>
              </w:rPr>
              <w:t xml:space="preserve"> </w:t>
            </w:r>
          </w:p>
          <w:p w:rsidR="009B4E75" w:rsidRPr="009B4E75" w:rsidRDefault="009B4E75" w:rsidP="00CB7F1A">
            <w:pPr>
              <w:spacing w:before="40" w:after="40"/>
              <w:rPr>
                <w:lang w:val="en-US" w:eastAsia="da-DK"/>
              </w:rPr>
            </w:pPr>
            <w:r>
              <w:rPr>
                <w:lang w:val="en-US" w:eastAsia="da-DK"/>
              </w:rPr>
              <w:t xml:space="preserve">GD1+2 </w:t>
            </w:r>
            <w:proofErr w:type="spellStart"/>
            <w:r>
              <w:rPr>
                <w:lang w:val="en-US" w:eastAsia="da-DK"/>
              </w:rPr>
              <w:t>leverer</w:t>
            </w:r>
            <w:proofErr w:type="spellEnd"/>
            <w:r>
              <w:rPr>
                <w:lang w:val="en-US" w:eastAsia="da-DK"/>
              </w:rPr>
              <w:t xml:space="preserve"> data</w:t>
            </w:r>
          </w:p>
        </w:tc>
      </w:tr>
      <w:tr w:rsidR="00A30ADE" w:rsidTr="000159BA">
        <w:trPr>
          <w:cantSplit/>
        </w:trPr>
        <w:tc>
          <w:tcPr>
            <w:tcW w:w="6946" w:type="dxa"/>
          </w:tcPr>
          <w:p w:rsidR="00A30ADE" w:rsidRDefault="00A30ADE" w:rsidP="00CB7F1A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</w:t>
            </w:r>
            <w:r w:rsidR="00FE537B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t af andre </w:t>
            </w:r>
            <w:r w:rsidR="00FE537B">
              <w:rPr>
                <w:rFonts w:ascii="Calibri" w:hAnsi="Calibri"/>
                <w:color w:val="000000"/>
              </w:rPr>
              <w:t>ikke-funktionelle krav til services på Datafordeleren.</w:t>
            </w:r>
          </w:p>
        </w:tc>
        <w:tc>
          <w:tcPr>
            <w:tcW w:w="2783" w:type="dxa"/>
          </w:tcPr>
          <w:p w:rsidR="00A30ADE" w:rsidRDefault="00A30ADE" w:rsidP="00A30ADE">
            <w:pPr>
              <w:spacing w:before="40" w:after="40"/>
              <w:rPr>
                <w:lang w:eastAsia="da-DK"/>
              </w:rPr>
            </w:pPr>
          </w:p>
        </w:tc>
      </w:tr>
      <w:tr w:rsidR="00A30ADE" w:rsidTr="000159BA">
        <w:trPr>
          <w:cantSplit/>
        </w:trPr>
        <w:tc>
          <w:tcPr>
            <w:tcW w:w="6946" w:type="dxa"/>
          </w:tcPr>
          <w:p w:rsidR="00A30ADE" w:rsidRDefault="00CB7F1A" w:rsidP="00CB7F1A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Etablering af testdata på Datafordeleren – herunder governance over hvi</w:t>
            </w:r>
            <w:r>
              <w:rPr>
                <w:rFonts w:ascii="Calibri" w:hAnsi="Calibri"/>
                <w:color w:val="000000"/>
              </w:rPr>
              <w:t>l</w:t>
            </w:r>
            <w:r>
              <w:rPr>
                <w:rFonts w:ascii="Calibri" w:hAnsi="Calibri"/>
                <w:color w:val="000000"/>
              </w:rPr>
              <w:t>ke testdata der skal etableres i de enkelte miljøer.</w:t>
            </w:r>
          </w:p>
          <w:p w:rsidR="00427D07" w:rsidRDefault="00427D07" w:rsidP="00CB7F1A">
            <w:pPr>
              <w:spacing w:before="40" w:after="40"/>
              <w:rPr>
                <w:rFonts w:ascii="Calibri" w:hAnsi="Calibri"/>
                <w:color w:val="000000"/>
              </w:rPr>
            </w:pPr>
          </w:p>
          <w:p w:rsidR="00427D07" w:rsidRPr="00427D07" w:rsidRDefault="00427D07" w:rsidP="00427D07">
            <w:pPr>
              <w:pStyle w:val="Listeafsnit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  <w:color w:val="000000"/>
              </w:rPr>
            </w:pPr>
            <w:r w:rsidRPr="00427D07">
              <w:rPr>
                <w:rFonts w:ascii="Calibri" w:hAnsi="Calibri"/>
                <w:color w:val="00B050"/>
              </w:rPr>
              <w:t>Det vurderes at 6 måneders gennemtestning er nødvendig for at få ejendomsdataområdet til at hænge sammen</w:t>
            </w:r>
          </w:p>
        </w:tc>
        <w:tc>
          <w:tcPr>
            <w:tcW w:w="2783" w:type="dxa"/>
          </w:tcPr>
          <w:p w:rsidR="00501C8F" w:rsidRDefault="000159BA" w:rsidP="000159BA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Der skal etableres et </w:t>
            </w:r>
            <w:r w:rsidR="00501C8F">
              <w:rPr>
                <w:lang w:eastAsia="da-DK"/>
              </w:rPr>
              <w:t>”</w:t>
            </w:r>
            <w:proofErr w:type="spellStart"/>
            <w:r w:rsidR="00501C8F">
              <w:rPr>
                <w:lang w:eastAsia="da-DK"/>
              </w:rPr>
              <w:t>And</w:t>
            </w:r>
            <w:r w:rsidR="00501C8F">
              <w:rPr>
                <w:lang w:eastAsia="da-DK"/>
              </w:rPr>
              <w:t>e</w:t>
            </w:r>
            <w:r w:rsidR="00501C8F">
              <w:rPr>
                <w:lang w:eastAsia="da-DK"/>
              </w:rPr>
              <w:t>by</w:t>
            </w:r>
            <w:proofErr w:type="spellEnd"/>
            <w:r w:rsidR="00501C8F">
              <w:rPr>
                <w:lang w:eastAsia="da-DK"/>
              </w:rPr>
              <w:t xml:space="preserve">/Eventyrland” </w:t>
            </w:r>
            <w:r>
              <w:rPr>
                <w:lang w:eastAsia="da-DK"/>
              </w:rPr>
              <w:t>for at ge</w:t>
            </w:r>
            <w:r>
              <w:rPr>
                <w:lang w:eastAsia="da-DK"/>
              </w:rPr>
              <w:t>n</w:t>
            </w:r>
            <w:r>
              <w:rPr>
                <w:lang w:eastAsia="da-DK"/>
              </w:rPr>
              <w:t>nemføre en E</w:t>
            </w:r>
            <w:r w:rsidR="00501C8F">
              <w:rPr>
                <w:lang w:eastAsia="da-DK"/>
              </w:rPr>
              <w:t xml:space="preserve">nd to End test. </w:t>
            </w:r>
            <w:r>
              <w:rPr>
                <w:lang w:eastAsia="da-DK"/>
              </w:rPr>
              <w:t>DIGST</w:t>
            </w:r>
            <w:r w:rsidR="00501C8F">
              <w:rPr>
                <w:lang w:eastAsia="da-DK"/>
              </w:rPr>
              <w:t xml:space="preserve"> har en rolle i at få hægtet GD1/GD2 sammen med operatøren.  KMD etablerer testmiljøer.  Særlig problemstilling i forhold til CPR /CVR.  Tilrettelægges i dialog med KMD.</w:t>
            </w:r>
          </w:p>
        </w:tc>
      </w:tr>
      <w:tr w:rsidR="00CB7F1A" w:rsidTr="000159BA">
        <w:trPr>
          <w:cantSplit/>
        </w:trPr>
        <w:tc>
          <w:tcPr>
            <w:tcW w:w="6946" w:type="dxa"/>
          </w:tcPr>
          <w:p w:rsidR="00CB7F1A" w:rsidRDefault="00CB7F1A" w:rsidP="00963F39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Etablering af et sæt generelle tværgående testdata på tværs af de enkelte registre og Datafordeler.</w:t>
            </w:r>
            <w:r>
              <w:rPr>
                <w:rFonts w:ascii="Calibri" w:hAnsi="Calibri"/>
                <w:color w:val="000000"/>
              </w:rPr>
              <w:br/>
            </w:r>
            <w:r w:rsidRPr="00CB7F1A">
              <w:rPr>
                <w:rFonts w:ascii="Calibri" w:hAnsi="Calibri"/>
                <w:i/>
                <w:color w:val="000000"/>
              </w:rPr>
              <w:t>(neutrale fiktive testdata som skal anvendes til tværgående testcases</w:t>
            </w:r>
            <w:r w:rsidR="00BF20F1">
              <w:rPr>
                <w:rFonts w:ascii="Calibri" w:hAnsi="Calibri"/>
                <w:i/>
                <w:color w:val="000000"/>
              </w:rPr>
              <w:t xml:space="preserve"> såvel internt i GD1/GD2 som eksternt</w:t>
            </w:r>
            <w:r w:rsidRPr="00CB7F1A">
              <w:rPr>
                <w:rFonts w:ascii="Calibri" w:hAnsi="Calibri"/>
                <w:i/>
                <w:color w:val="000000"/>
              </w:rPr>
              <w:t>)</w:t>
            </w:r>
          </w:p>
        </w:tc>
        <w:tc>
          <w:tcPr>
            <w:tcW w:w="2783" w:type="dxa"/>
          </w:tcPr>
          <w:p w:rsidR="00247161" w:rsidRDefault="00247161" w:rsidP="00247161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DF-operatør</w:t>
            </w:r>
          </w:p>
          <w:p w:rsidR="00CB7F1A" w:rsidRDefault="00247161" w:rsidP="00247161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(GD1+2 leverer)</w:t>
            </w:r>
          </w:p>
        </w:tc>
      </w:tr>
      <w:tr w:rsidR="00CB7F1A" w:rsidTr="000159BA">
        <w:trPr>
          <w:cantSplit/>
        </w:trPr>
        <w:tc>
          <w:tcPr>
            <w:tcW w:w="6946" w:type="dxa"/>
          </w:tcPr>
          <w:p w:rsidR="00522D17" w:rsidRDefault="00D1269C" w:rsidP="00D1269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Opgaver ifb. referenceimplementeringer på Datafordeleren – hvad håndt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rer GD7 og hvad har GD1/GD2 delprogrammerne hhv. projekterne ansv</w:t>
            </w:r>
            <w:r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>ret for.</w:t>
            </w:r>
          </w:p>
          <w:p w:rsidR="00522D17" w:rsidRPr="000159BA" w:rsidRDefault="00522D17" w:rsidP="000159BA">
            <w:pPr>
              <w:pStyle w:val="Listeafsnit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  <w:color w:val="00B050"/>
              </w:rPr>
            </w:pPr>
            <w:r w:rsidRPr="000159BA">
              <w:rPr>
                <w:rFonts w:ascii="Calibri" w:hAnsi="Calibri"/>
                <w:color w:val="00B050"/>
              </w:rPr>
              <w:t xml:space="preserve">Afprøve at </w:t>
            </w:r>
            <w:proofErr w:type="spellStart"/>
            <w:r w:rsidRPr="000159BA">
              <w:rPr>
                <w:rFonts w:ascii="Calibri" w:hAnsi="Calibri"/>
                <w:color w:val="00B050"/>
              </w:rPr>
              <w:t>DF’s</w:t>
            </w:r>
            <w:proofErr w:type="spellEnd"/>
            <w:r w:rsidRPr="000159BA">
              <w:rPr>
                <w:rFonts w:ascii="Calibri" w:hAnsi="Calibri"/>
                <w:color w:val="00B050"/>
              </w:rPr>
              <w:t xml:space="preserve"> basale funktionalitet er på plads.</w:t>
            </w:r>
          </w:p>
          <w:p w:rsidR="00522D17" w:rsidRPr="000159BA" w:rsidRDefault="00522D17" w:rsidP="000159BA">
            <w:pPr>
              <w:pStyle w:val="Listeafsnit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  <w:color w:val="000000"/>
              </w:rPr>
            </w:pPr>
            <w:r w:rsidRPr="000159BA">
              <w:rPr>
                <w:rFonts w:ascii="Calibri" w:hAnsi="Calibri"/>
                <w:color w:val="00B050"/>
              </w:rPr>
              <w:t>Synliggøre arbejdspakker i AWS og DAGI</w:t>
            </w:r>
          </w:p>
        </w:tc>
        <w:tc>
          <w:tcPr>
            <w:tcW w:w="2783" w:type="dxa"/>
          </w:tcPr>
          <w:p w:rsidR="00CB7F1A" w:rsidRDefault="000159BA" w:rsidP="000159BA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Referenceimplementeringen på DF</w:t>
            </w:r>
            <w:r w:rsidR="00501C8F">
              <w:rPr>
                <w:lang w:eastAsia="da-DK"/>
              </w:rPr>
              <w:t xml:space="preserve"> løber sammen med </w:t>
            </w:r>
            <w:proofErr w:type="spellStart"/>
            <w:r w:rsidR="00501C8F">
              <w:rPr>
                <w:lang w:eastAsia="da-DK"/>
              </w:rPr>
              <w:t>DAGI’s</w:t>
            </w:r>
            <w:proofErr w:type="spellEnd"/>
            <w:r w:rsidR="00501C8F">
              <w:rPr>
                <w:lang w:eastAsia="da-DK"/>
              </w:rPr>
              <w:t xml:space="preserve"> udvikling.  </w:t>
            </w:r>
            <w:r>
              <w:rPr>
                <w:lang w:eastAsia="da-DK"/>
              </w:rPr>
              <w:t xml:space="preserve">Opgaven skal beskrives som </w:t>
            </w:r>
            <w:r w:rsidR="00501C8F">
              <w:rPr>
                <w:lang w:eastAsia="da-DK"/>
              </w:rPr>
              <w:t>arbejd</w:t>
            </w:r>
            <w:r w:rsidR="00501C8F">
              <w:rPr>
                <w:lang w:eastAsia="da-DK"/>
              </w:rPr>
              <w:t>s</w:t>
            </w:r>
            <w:r w:rsidR="00501C8F">
              <w:rPr>
                <w:lang w:eastAsia="da-DK"/>
              </w:rPr>
              <w:t>pakkermed milepæle i GD1/GD2.  DAGI / DAR /AWS skal indlægge a</w:t>
            </w:r>
            <w:r w:rsidR="00501C8F">
              <w:rPr>
                <w:lang w:eastAsia="da-DK"/>
              </w:rPr>
              <w:t>r</w:t>
            </w:r>
            <w:r w:rsidR="00501C8F">
              <w:rPr>
                <w:lang w:eastAsia="da-DK"/>
              </w:rPr>
              <w:t>bejdspakker i samarbejde med GD7</w:t>
            </w:r>
          </w:p>
        </w:tc>
      </w:tr>
      <w:tr w:rsidR="00522D17" w:rsidTr="000159BA">
        <w:trPr>
          <w:cantSplit/>
        </w:trPr>
        <w:tc>
          <w:tcPr>
            <w:tcW w:w="6946" w:type="dxa"/>
          </w:tcPr>
          <w:p w:rsidR="00522D17" w:rsidRDefault="00501C8F" w:rsidP="00522D17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Filudtræk (hvad vi kalder services) er noget der skal opga</w:t>
            </w:r>
            <w:r w:rsidR="00EB6E70">
              <w:rPr>
                <w:rFonts w:ascii="Calibri" w:hAnsi="Calibri"/>
                <w:color w:val="000000"/>
              </w:rPr>
              <w:t>vesættes.  Proces skal gennemgå</w:t>
            </w:r>
            <w:r>
              <w:rPr>
                <w:rFonts w:ascii="Calibri" w:hAnsi="Calibri"/>
                <w:color w:val="000000"/>
              </w:rPr>
              <w:t>s</w:t>
            </w:r>
            <w:r w:rsidR="00EB6E70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hvad skal laves og hvor lang tid tager det</w:t>
            </w:r>
            <w:r w:rsidR="00EB6E70">
              <w:rPr>
                <w:rFonts w:ascii="Calibri" w:hAnsi="Calibri"/>
                <w:color w:val="000000"/>
              </w:rPr>
              <w:t>?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783" w:type="dxa"/>
          </w:tcPr>
          <w:p w:rsidR="00522D17" w:rsidRDefault="00522D17" w:rsidP="00522D17">
            <w:pPr>
              <w:spacing w:before="40" w:after="40"/>
              <w:rPr>
                <w:lang w:eastAsia="da-DK"/>
              </w:rPr>
            </w:pPr>
          </w:p>
        </w:tc>
      </w:tr>
    </w:tbl>
    <w:p w:rsidR="00621C1A" w:rsidRPr="001E035B" w:rsidRDefault="00621C1A" w:rsidP="00A30ADE">
      <w:pPr>
        <w:pStyle w:val="Overskrift2"/>
        <w:rPr>
          <w:b/>
        </w:rPr>
      </w:pPr>
      <w:r w:rsidRPr="001E035B">
        <w:rPr>
          <w:b/>
        </w:rPr>
        <w:t>Agenda punkt 4: GD7 Hovedmilepæle og relationer til GD1/GD2</w:t>
      </w:r>
    </w:p>
    <w:p w:rsidR="00B9505A" w:rsidRPr="00621C1A" w:rsidRDefault="00B9505A" w:rsidP="00EB26AC">
      <w:pPr>
        <w:pStyle w:val="Overskrift3"/>
      </w:pPr>
      <w:r w:rsidRPr="00621C1A">
        <w:t>Væsentlige milepæle i projektplanen</w:t>
      </w:r>
    </w:p>
    <w:p w:rsidR="00F7565E" w:rsidRDefault="008631B1" w:rsidP="00FE1841">
      <w:pPr>
        <w:spacing w:after="120"/>
        <w:rPr>
          <w:lang w:eastAsia="da-DK"/>
        </w:rPr>
      </w:pPr>
      <w:r>
        <w:rPr>
          <w:lang w:eastAsia="da-DK"/>
        </w:rPr>
        <w:t>V</w:t>
      </w:r>
      <w:r w:rsidR="00F7565E">
        <w:rPr>
          <w:lang w:eastAsia="da-DK"/>
        </w:rPr>
        <w:t>igtig</w:t>
      </w:r>
      <w:r w:rsidR="004570EC">
        <w:rPr>
          <w:lang w:eastAsia="da-DK"/>
        </w:rPr>
        <w:t xml:space="preserve">e </w:t>
      </w:r>
      <w:r>
        <w:rPr>
          <w:lang w:eastAsia="da-DK"/>
        </w:rPr>
        <w:t xml:space="preserve">GD7 </w:t>
      </w:r>
      <w:r w:rsidR="004570EC">
        <w:rPr>
          <w:lang w:eastAsia="da-DK"/>
        </w:rPr>
        <w:t>milepæle i relation til GD1/GD2</w:t>
      </w:r>
      <w:r w:rsidR="00F7565E">
        <w:rPr>
          <w:lang w:eastAsia="da-DK"/>
        </w:rPr>
        <w:t>. Disse milepæle er vigtige for GD1/GD2, fordi replanlægningen gerne skulle resultere i en optimeret plan set ift. kalendertiden, samt en plan som tager hensyn til en så jævn belastning som muligt af de forskellige aktører – herunder Datafordelerens leverandør. Det vil derfor være relevant om muligt at kunne fremflytte visse aktiviteter kalendermæssigt, således presset ikke bliver for stort på visse tidspunkter.</w:t>
      </w:r>
    </w:p>
    <w:p w:rsidR="00AA4F44" w:rsidRDefault="00F7565E" w:rsidP="00FE1841">
      <w:pPr>
        <w:spacing w:after="120"/>
        <w:rPr>
          <w:lang w:eastAsia="da-DK"/>
        </w:rPr>
      </w:pPr>
      <w:r>
        <w:rPr>
          <w:lang w:eastAsia="da-DK"/>
        </w:rPr>
        <w:t>GD1/GD2 ønsker m</w:t>
      </w:r>
      <w:r w:rsidR="002D7174">
        <w:rPr>
          <w:lang w:eastAsia="da-DK"/>
        </w:rPr>
        <w:t xml:space="preserve">ilepæle for hvornår Datafordeleren </w:t>
      </w:r>
      <w:r>
        <w:rPr>
          <w:lang w:eastAsia="da-DK"/>
        </w:rPr>
        <w:t>forventer at være</w:t>
      </w:r>
      <w:r w:rsidR="004570EC">
        <w:rPr>
          <w:lang w:eastAsia="da-DK"/>
        </w:rPr>
        <w:t>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7454"/>
        <w:gridCol w:w="1501"/>
      </w:tblGrid>
      <w:tr w:rsidR="00AA4F44" w:rsidRPr="00A20598" w:rsidTr="002A641A">
        <w:trPr>
          <w:cantSplit/>
          <w:tblHeader/>
        </w:trPr>
        <w:tc>
          <w:tcPr>
            <w:tcW w:w="8019" w:type="dxa"/>
            <w:gridSpan w:val="2"/>
            <w:shd w:val="clear" w:color="auto" w:fill="B6DDE8" w:themeFill="accent5" w:themeFillTint="66"/>
          </w:tcPr>
          <w:p w:rsidR="00AA4F44" w:rsidRPr="00A20598" w:rsidRDefault="00AA4F44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 xml:space="preserve">Væsentlige fælles milepæle til </w:t>
            </w:r>
            <w:r w:rsidR="00A20598" w:rsidRPr="00A20598">
              <w:rPr>
                <w:b/>
                <w:lang w:eastAsia="da-DK"/>
              </w:rPr>
              <w:t>brug for replanlægning i GD1/GD2</w:t>
            </w:r>
          </w:p>
        </w:tc>
        <w:tc>
          <w:tcPr>
            <w:tcW w:w="1501" w:type="dxa"/>
            <w:shd w:val="clear" w:color="auto" w:fill="B6DDE8" w:themeFill="accent5" w:themeFillTint="66"/>
          </w:tcPr>
          <w:p w:rsidR="00AA4F44" w:rsidRPr="00A20598" w:rsidRDefault="00AA4F44" w:rsidP="00A20598">
            <w:pPr>
              <w:spacing w:before="40" w:after="40"/>
              <w:jc w:val="center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Deadline</w:t>
            </w:r>
          </w:p>
        </w:tc>
      </w:tr>
      <w:tr w:rsidR="00AA4F44" w:rsidTr="002A641A">
        <w:trPr>
          <w:cantSplit/>
        </w:trPr>
        <w:tc>
          <w:tcPr>
            <w:tcW w:w="565" w:type="dxa"/>
          </w:tcPr>
          <w:p w:rsidR="00AA4F44" w:rsidRDefault="00B34CCF" w:rsidP="00621C1A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</w:t>
            </w:r>
          </w:p>
        </w:tc>
        <w:tc>
          <w:tcPr>
            <w:tcW w:w="7454" w:type="dxa"/>
          </w:tcPr>
          <w:p w:rsidR="00AA4F44" w:rsidRPr="00B34CCF" w:rsidRDefault="00D34E0A" w:rsidP="00D34E0A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Specifikation af format mv. til aflevering af servicespecifikationer til GD7</w:t>
            </w:r>
          </w:p>
        </w:tc>
        <w:tc>
          <w:tcPr>
            <w:tcW w:w="1501" w:type="dxa"/>
          </w:tcPr>
          <w:p w:rsidR="00AA4F44" w:rsidRDefault="00AA4F44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D34E0A" w:rsidTr="002A641A">
        <w:trPr>
          <w:cantSplit/>
        </w:trPr>
        <w:tc>
          <w:tcPr>
            <w:tcW w:w="565" w:type="dxa"/>
          </w:tcPr>
          <w:p w:rsidR="00D34E0A" w:rsidRDefault="00D34E0A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D34E0A" w:rsidRDefault="00D34E0A" w:rsidP="00D34E0A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Specifikation af format mv. til aflevering af specifikation af hændelsesbeskeder til GD7</w:t>
            </w:r>
          </w:p>
        </w:tc>
        <w:tc>
          <w:tcPr>
            <w:tcW w:w="1501" w:type="dxa"/>
          </w:tcPr>
          <w:p w:rsidR="00D34E0A" w:rsidRDefault="00D34E0A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D34E0A" w:rsidTr="002A641A">
        <w:trPr>
          <w:cantSplit/>
        </w:trPr>
        <w:tc>
          <w:tcPr>
            <w:tcW w:w="565" w:type="dxa"/>
          </w:tcPr>
          <w:p w:rsidR="00D34E0A" w:rsidRDefault="00D34E0A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D34E0A" w:rsidRDefault="00D34E0A" w:rsidP="00F7565E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Klar med testmiljøer på Datafordeleren</w:t>
            </w:r>
          </w:p>
        </w:tc>
        <w:tc>
          <w:tcPr>
            <w:tcW w:w="1501" w:type="dxa"/>
          </w:tcPr>
          <w:p w:rsidR="00D34E0A" w:rsidRDefault="00D34E0A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2F0327" w:rsidTr="002A641A">
        <w:trPr>
          <w:cantSplit/>
        </w:trPr>
        <w:tc>
          <w:tcPr>
            <w:tcW w:w="565" w:type="dxa"/>
          </w:tcPr>
          <w:p w:rsidR="002F0327" w:rsidRDefault="002F0327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2F0327" w:rsidRDefault="00F7565E" w:rsidP="00F7565E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Klar med p</w:t>
            </w:r>
            <w:r w:rsidR="002F0327">
              <w:rPr>
                <w:rFonts w:ascii="Calibri" w:hAnsi="Calibri"/>
                <w:color w:val="000000"/>
              </w:rPr>
              <w:t>roduktionsmiljø på Datafordeleren</w:t>
            </w:r>
          </w:p>
        </w:tc>
        <w:tc>
          <w:tcPr>
            <w:tcW w:w="1501" w:type="dxa"/>
          </w:tcPr>
          <w:p w:rsidR="002F0327" w:rsidRDefault="002F0327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2F0327" w:rsidTr="002A641A">
        <w:trPr>
          <w:cantSplit/>
        </w:trPr>
        <w:tc>
          <w:tcPr>
            <w:tcW w:w="565" w:type="dxa"/>
          </w:tcPr>
          <w:p w:rsidR="002F0327" w:rsidRDefault="002F0327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2F0327" w:rsidRDefault="002F0327" w:rsidP="002D7174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Klar til at modtage datamodeller/datamodelændringer</w:t>
            </w:r>
          </w:p>
        </w:tc>
        <w:tc>
          <w:tcPr>
            <w:tcW w:w="1501" w:type="dxa"/>
          </w:tcPr>
          <w:p w:rsidR="002F0327" w:rsidRDefault="002F0327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AA4F44" w:rsidTr="002A641A">
        <w:trPr>
          <w:cantSplit/>
        </w:trPr>
        <w:tc>
          <w:tcPr>
            <w:tcW w:w="565" w:type="dxa"/>
          </w:tcPr>
          <w:p w:rsidR="00AA4F44" w:rsidRDefault="00AA4F44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AA4F44" w:rsidRPr="00B34CCF" w:rsidRDefault="002D7174" w:rsidP="002D7174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621C1A">
              <w:rPr>
                <w:rFonts w:ascii="Calibri" w:hAnsi="Calibri"/>
                <w:color w:val="000000"/>
              </w:rPr>
              <w:t xml:space="preserve">lar til </w:t>
            </w:r>
            <w:r>
              <w:rPr>
                <w:rFonts w:ascii="Calibri" w:hAnsi="Calibri"/>
                <w:color w:val="000000"/>
              </w:rPr>
              <w:t xml:space="preserve">i testmiljø </w:t>
            </w:r>
            <w:r w:rsidR="00621C1A">
              <w:rPr>
                <w:rFonts w:ascii="Calibri" w:hAnsi="Calibri"/>
                <w:color w:val="000000"/>
              </w:rPr>
              <w:t>at modtage registerdata</w:t>
            </w:r>
            <w:r>
              <w:rPr>
                <w:rFonts w:ascii="Calibri" w:hAnsi="Calibri"/>
                <w:color w:val="000000"/>
              </w:rPr>
              <w:t xml:space="preserve"> og ændringer hertil</w:t>
            </w:r>
          </w:p>
        </w:tc>
        <w:tc>
          <w:tcPr>
            <w:tcW w:w="1501" w:type="dxa"/>
          </w:tcPr>
          <w:p w:rsidR="00AA4F44" w:rsidRDefault="00AA4F44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2A641A" w:rsidTr="002A641A">
        <w:trPr>
          <w:cantSplit/>
        </w:trPr>
        <w:tc>
          <w:tcPr>
            <w:tcW w:w="565" w:type="dxa"/>
          </w:tcPr>
          <w:p w:rsidR="002A641A" w:rsidRDefault="002A641A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2A641A" w:rsidRDefault="002D7174" w:rsidP="002D7174">
            <w:pPr>
              <w:spacing w:before="40" w:after="40"/>
              <w:rPr>
                <w:lang w:eastAsia="da-DK"/>
              </w:rPr>
            </w:pPr>
            <w:r>
              <w:rPr>
                <w:rFonts w:ascii="Calibri" w:hAnsi="Calibri"/>
                <w:color w:val="000000"/>
              </w:rPr>
              <w:t>Klar til i produktion at modtage registerdata og ændringer hertil</w:t>
            </w:r>
          </w:p>
        </w:tc>
        <w:tc>
          <w:tcPr>
            <w:tcW w:w="1501" w:type="dxa"/>
          </w:tcPr>
          <w:p w:rsidR="002A641A" w:rsidRDefault="002A641A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2D7174" w:rsidTr="002A641A">
        <w:trPr>
          <w:cantSplit/>
        </w:trPr>
        <w:tc>
          <w:tcPr>
            <w:tcW w:w="565" w:type="dxa"/>
          </w:tcPr>
          <w:p w:rsidR="002D7174" w:rsidRDefault="002D7174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2D7174" w:rsidRDefault="002D7174" w:rsidP="002D7174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Klar til at leve</w:t>
            </w:r>
            <w:r w:rsidR="002F0327">
              <w:rPr>
                <w:rFonts w:ascii="Calibri" w:hAnsi="Calibri"/>
                <w:color w:val="000000"/>
              </w:rPr>
              <w:t>re servicespecifikationer til KMD</w:t>
            </w:r>
          </w:p>
        </w:tc>
        <w:tc>
          <w:tcPr>
            <w:tcW w:w="1501" w:type="dxa"/>
          </w:tcPr>
          <w:p w:rsidR="002D7174" w:rsidRDefault="002D7174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2D7174" w:rsidTr="002A641A">
        <w:trPr>
          <w:cantSplit/>
        </w:trPr>
        <w:tc>
          <w:tcPr>
            <w:tcW w:w="565" w:type="dxa"/>
          </w:tcPr>
          <w:p w:rsidR="002D7174" w:rsidRDefault="002D7174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2D7174" w:rsidRDefault="002F0327" w:rsidP="002F0327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Klar til i testmiljø at udstille services</w:t>
            </w:r>
          </w:p>
        </w:tc>
        <w:tc>
          <w:tcPr>
            <w:tcW w:w="1501" w:type="dxa"/>
          </w:tcPr>
          <w:p w:rsidR="002D7174" w:rsidRDefault="002D7174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2D7174" w:rsidTr="002A641A">
        <w:trPr>
          <w:cantSplit/>
        </w:trPr>
        <w:tc>
          <w:tcPr>
            <w:tcW w:w="565" w:type="dxa"/>
          </w:tcPr>
          <w:p w:rsidR="002D7174" w:rsidRDefault="002D7174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2D7174" w:rsidRDefault="002F0327" w:rsidP="002F0327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Klar til i produktion at udstille services</w:t>
            </w:r>
          </w:p>
        </w:tc>
        <w:tc>
          <w:tcPr>
            <w:tcW w:w="1501" w:type="dxa"/>
          </w:tcPr>
          <w:p w:rsidR="002D7174" w:rsidRDefault="002D7174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9C7ABB" w:rsidTr="002A641A">
        <w:trPr>
          <w:cantSplit/>
        </w:trPr>
        <w:tc>
          <w:tcPr>
            <w:tcW w:w="565" w:type="dxa"/>
          </w:tcPr>
          <w:p w:rsidR="009C7ABB" w:rsidRDefault="009C7ABB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9C7ABB" w:rsidRDefault="009C7ABB" w:rsidP="009C7AB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Klar til i testmiljø at levere metadataservices (ud fra datamodelbeskrivelser)</w:t>
            </w:r>
          </w:p>
        </w:tc>
        <w:tc>
          <w:tcPr>
            <w:tcW w:w="1501" w:type="dxa"/>
          </w:tcPr>
          <w:p w:rsidR="009C7ABB" w:rsidRDefault="009C7ABB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9C7ABB" w:rsidTr="002A641A">
        <w:trPr>
          <w:cantSplit/>
        </w:trPr>
        <w:tc>
          <w:tcPr>
            <w:tcW w:w="565" w:type="dxa"/>
          </w:tcPr>
          <w:p w:rsidR="009C7ABB" w:rsidRDefault="009C7ABB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9C7ABB" w:rsidRDefault="009C7ABB" w:rsidP="009C7AB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Klar til i produktion at levere metadataservices (ud fra datamodelbeskrivelser)</w:t>
            </w:r>
          </w:p>
        </w:tc>
        <w:tc>
          <w:tcPr>
            <w:tcW w:w="1501" w:type="dxa"/>
          </w:tcPr>
          <w:p w:rsidR="009C7ABB" w:rsidRDefault="009C7ABB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83385F" w:rsidTr="002A641A">
        <w:trPr>
          <w:cantSplit/>
        </w:trPr>
        <w:tc>
          <w:tcPr>
            <w:tcW w:w="565" w:type="dxa"/>
          </w:tcPr>
          <w:p w:rsidR="0083385F" w:rsidRDefault="0083385F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83385F" w:rsidRDefault="0083385F" w:rsidP="0083385F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Klar til at levere specifikationer af hændelsesbeskeder til KMD</w:t>
            </w:r>
          </w:p>
        </w:tc>
        <w:tc>
          <w:tcPr>
            <w:tcW w:w="1501" w:type="dxa"/>
          </w:tcPr>
          <w:p w:rsidR="0083385F" w:rsidRDefault="0083385F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83385F" w:rsidTr="002A641A">
        <w:trPr>
          <w:cantSplit/>
        </w:trPr>
        <w:tc>
          <w:tcPr>
            <w:tcW w:w="565" w:type="dxa"/>
          </w:tcPr>
          <w:p w:rsidR="0083385F" w:rsidRDefault="0083385F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83385F" w:rsidRDefault="0083385F" w:rsidP="002F0327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Klar til i testmiljø at udstille hændelsesbeskeder</w:t>
            </w:r>
          </w:p>
        </w:tc>
        <w:tc>
          <w:tcPr>
            <w:tcW w:w="1501" w:type="dxa"/>
          </w:tcPr>
          <w:p w:rsidR="0083385F" w:rsidRDefault="0083385F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83385F" w:rsidTr="002A641A">
        <w:trPr>
          <w:cantSplit/>
        </w:trPr>
        <w:tc>
          <w:tcPr>
            <w:tcW w:w="565" w:type="dxa"/>
          </w:tcPr>
          <w:p w:rsidR="0083385F" w:rsidRDefault="0083385F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83385F" w:rsidRDefault="0083385F" w:rsidP="002F0327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Klar til i produktion at udstille hændelsesbeskeder</w:t>
            </w:r>
          </w:p>
        </w:tc>
        <w:tc>
          <w:tcPr>
            <w:tcW w:w="1501" w:type="dxa"/>
          </w:tcPr>
          <w:p w:rsidR="0083385F" w:rsidRDefault="0083385F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5B59ED" w:rsidTr="00CB7F1A">
        <w:trPr>
          <w:cantSplit/>
        </w:trPr>
        <w:tc>
          <w:tcPr>
            <w:tcW w:w="565" w:type="dxa"/>
          </w:tcPr>
          <w:p w:rsidR="005B59ED" w:rsidRDefault="005B59ED" w:rsidP="00CB7F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5B59ED" w:rsidRDefault="00F7565E" w:rsidP="009C7ABB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Klar med </w:t>
            </w:r>
            <w:r w:rsidR="005B59ED">
              <w:rPr>
                <w:lang w:eastAsia="da-DK"/>
              </w:rPr>
              <w:t xml:space="preserve">CPR, CVR data i testmiljø </w:t>
            </w:r>
            <w:r w:rsidR="005B59ED">
              <w:rPr>
                <w:lang w:eastAsia="da-DK"/>
              </w:rPr>
              <w:br/>
            </w:r>
            <w:r w:rsidR="005B59ED" w:rsidRPr="005B59ED">
              <w:rPr>
                <w:i/>
                <w:lang w:eastAsia="da-DK"/>
              </w:rPr>
              <w:t>(til brug for Ejerfortegnelsen samt services på Datafordeleren</w:t>
            </w:r>
            <w:r w:rsidR="009C7ABB">
              <w:rPr>
                <w:i/>
                <w:lang w:eastAsia="da-DK"/>
              </w:rPr>
              <w:t>)</w:t>
            </w:r>
          </w:p>
        </w:tc>
        <w:tc>
          <w:tcPr>
            <w:tcW w:w="1501" w:type="dxa"/>
          </w:tcPr>
          <w:p w:rsidR="005B59ED" w:rsidRDefault="005B59ED" w:rsidP="00CB7F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AA4F44" w:rsidTr="002A641A">
        <w:trPr>
          <w:cantSplit/>
        </w:trPr>
        <w:tc>
          <w:tcPr>
            <w:tcW w:w="565" w:type="dxa"/>
          </w:tcPr>
          <w:p w:rsidR="00AA4F44" w:rsidRDefault="00AA4F44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AA4F44" w:rsidRDefault="00F7565E" w:rsidP="009C7ABB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Klar med </w:t>
            </w:r>
            <w:r w:rsidR="005B59ED">
              <w:rPr>
                <w:lang w:eastAsia="da-DK"/>
              </w:rPr>
              <w:t>CPR, CVR data i produktion</w:t>
            </w:r>
            <w:r w:rsidR="005B59ED">
              <w:rPr>
                <w:lang w:eastAsia="da-DK"/>
              </w:rPr>
              <w:br/>
            </w:r>
            <w:r w:rsidR="005B59ED" w:rsidRPr="005B59ED">
              <w:rPr>
                <w:i/>
                <w:lang w:eastAsia="da-DK"/>
              </w:rPr>
              <w:t>(til brug for Ejerfortegnelsen samt services på Datafordeleren</w:t>
            </w:r>
            <w:r w:rsidR="009C7ABB">
              <w:rPr>
                <w:i/>
                <w:lang w:eastAsia="da-DK"/>
              </w:rPr>
              <w:t>)</w:t>
            </w:r>
          </w:p>
        </w:tc>
        <w:tc>
          <w:tcPr>
            <w:tcW w:w="1501" w:type="dxa"/>
          </w:tcPr>
          <w:p w:rsidR="00AA4F44" w:rsidRDefault="00AA4F44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5B59ED" w:rsidTr="002A641A">
        <w:trPr>
          <w:cantSplit/>
        </w:trPr>
        <w:tc>
          <w:tcPr>
            <w:tcW w:w="565" w:type="dxa"/>
          </w:tcPr>
          <w:p w:rsidR="005B59ED" w:rsidRDefault="005B59ED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5B59ED" w:rsidRDefault="00F7565E" w:rsidP="00F7565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Klar til at m</w:t>
            </w:r>
            <w:r w:rsidR="0083385F">
              <w:rPr>
                <w:lang w:eastAsia="da-DK"/>
              </w:rPr>
              <w:t>odtage</w:t>
            </w:r>
            <w:r>
              <w:rPr>
                <w:lang w:eastAsia="da-DK"/>
              </w:rPr>
              <w:t>/</w:t>
            </w:r>
            <w:r w:rsidR="0083385F">
              <w:rPr>
                <w:lang w:eastAsia="da-DK"/>
              </w:rPr>
              <w:t xml:space="preserve">udstille CPR/CVR data i testmiljø  </w:t>
            </w:r>
          </w:p>
        </w:tc>
        <w:tc>
          <w:tcPr>
            <w:tcW w:w="1501" w:type="dxa"/>
          </w:tcPr>
          <w:p w:rsidR="005B59ED" w:rsidRDefault="005B59ED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83385F" w:rsidTr="002A641A">
        <w:trPr>
          <w:cantSplit/>
        </w:trPr>
        <w:tc>
          <w:tcPr>
            <w:tcW w:w="565" w:type="dxa"/>
          </w:tcPr>
          <w:p w:rsidR="0083385F" w:rsidRDefault="0083385F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83385F" w:rsidRDefault="00F7565E" w:rsidP="00F7565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Klar til at Modtage/u</w:t>
            </w:r>
            <w:r w:rsidR="0083385F">
              <w:rPr>
                <w:lang w:eastAsia="da-DK"/>
              </w:rPr>
              <w:t>dstille CPR/CVR data i produktion</w:t>
            </w:r>
          </w:p>
        </w:tc>
        <w:tc>
          <w:tcPr>
            <w:tcW w:w="1501" w:type="dxa"/>
          </w:tcPr>
          <w:p w:rsidR="0083385F" w:rsidRDefault="0083385F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1E035B" w:rsidTr="002A641A">
        <w:trPr>
          <w:cantSplit/>
        </w:trPr>
        <w:tc>
          <w:tcPr>
            <w:tcW w:w="565" w:type="dxa"/>
          </w:tcPr>
          <w:p w:rsidR="001E035B" w:rsidRDefault="001E035B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1E035B" w:rsidRDefault="00F7565E" w:rsidP="00F7565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Klar til at m</w:t>
            </w:r>
            <w:r w:rsidR="001E035B">
              <w:rPr>
                <w:lang w:eastAsia="da-DK"/>
              </w:rPr>
              <w:t>odtage</w:t>
            </w:r>
            <w:r>
              <w:rPr>
                <w:lang w:eastAsia="da-DK"/>
              </w:rPr>
              <w:t>/</w:t>
            </w:r>
            <w:r w:rsidR="001E035B">
              <w:rPr>
                <w:lang w:eastAsia="da-DK"/>
              </w:rPr>
              <w:t xml:space="preserve">udstille CPR/CVR hændelsesbeskeder i testmiljø  </w:t>
            </w:r>
          </w:p>
        </w:tc>
        <w:tc>
          <w:tcPr>
            <w:tcW w:w="1501" w:type="dxa"/>
          </w:tcPr>
          <w:p w:rsidR="001E035B" w:rsidRDefault="001E035B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1E035B" w:rsidTr="002A641A">
        <w:trPr>
          <w:cantSplit/>
        </w:trPr>
        <w:tc>
          <w:tcPr>
            <w:tcW w:w="565" w:type="dxa"/>
          </w:tcPr>
          <w:p w:rsidR="001E035B" w:rsidRDefault="001E035B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1E035B" w:rsidRDefault="00F7565E" w:rsidP="00F7565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Klar til at m</w:t>
            </w:r>
            <w:r w:rsidR="001E035B">
              <w:rPr>
                <w:lang w:eastAsia="da-DK"/>
              </w:rPr>
              <w:t>odtage</w:t>
            </w:r>
            <w:r>
              <w:rPr>
                <w:lang w:eastAsia="da-DK"/>
              </w:rPr>
              <w:t>/</w:t>
            </w:r>
            <w:r w:rsidR="001E035B">
              <w:rPr>
                <w:lang w:eastAsia="da-DK"/>
              </w:rPr>
              <w:t>udstille CPR/CVR hændelsesbeskeder i produktion</w:t>
            </w:r>
          </w:p>
        </w:tc>
        <w:tc>
          <w:tcPr>
            <w:tcW w:w="1501" w:type="dxa"/>
          </w:tcPr>
          <w:p w:rsidR="001E035B" w:rsidRDefault="001E035B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1E035B" w:rsidTr="002A641A">
        <w:trPr>
          <w:cantSplit/>
        </w:trPr>
        <w:tc>
          <w:tcPr>
            <w:tcW w:w="565" w:type="dxa"/>
          </w:tcPr>
          <w:p w:rsidR="001E035B" w:rsidRDefault="001E035B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1E035B" w:rsidRDefault="00F7565E" w:rsidP="00F7565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Klar til at m</w:t>
            </w:r>
            <w:r w:rsidR="001E035B">
              <w:rPr>
                <w:lang w:eastAsia="da-DK"/>
              </w:rPr>
              <w:t>odtage</w:t>
            </w:r>
            <w:r>
              <w:rPr>
                <w:lang w:eastAsia="da-DK"/>
              </w:rPr>
              <w:t>/</w:t>
            </w:r>
            <w:r w:rsidR="001E035B">
              <w:rPr>
                <w:lang w:eastAsia="da-DK"/>
              </w:rPr>
              <w:t xml:space="preserve">udstille SKAT vurderingsoplysninger i testmiljø  </w:t>
            </w:r>
          </w:p>
        </w:tc>
        <w:tc>
          <w:tcPr>
            <w:tcW w:w="1501" w:type="dxa"/>
          </w:tcPr>
          <w:p w:rsidR="001E035B" w:rsidRDefault="001E035B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1E035B" w:rsidTr="002A641A">
        <w:trPr>
          <w:cantSplit/>
        </w:trPr>
        <w:tc>
          <w:tcPr>
            <w:tcW w:w="565" w:type="dxa"/>
          </w:tcPr>
          <w:p w:rsidR="001E035B" w:rsidRDefault="001E035B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1E035B" w:rsidRDefault="00F7565E" w:rsidP="00F7565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Klar til at m</w:t>
            </w:r>
            <w:r w:rsidR="001E035B">
              <w:rPr>
                <w:lang w:eastAsia="da-DK"/>
              </w:rPr>
              <w:t>odtage</w:t>
            </w:r>
            <w:r>
              <w:rPr>
                <w:lang w:eastAsia="da-DK"/>
              </w:rPr>
              <w:t>/</w:t>
            </w:r>
            <w:r w:rsidR="001E035B">
              <w:rPr>
                <w:lang w:eastAsia="da-DK"/>
              </w:rPr>
              <w:t>udstille SKAT vurderingsoplysninger i produktion</w:t>
            </w:r>
          </w:p>
        </w:tc>
        <w:tc>
          <w:tcPr>
            <w:tcW w:w="1501" w:type="dxa"/>
          </w:tcPr>
          <w:p w:rsidR="001E035B" w:rsidRDefault="001E035B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1E035B" w:rsidTr="002A641A">
        <w:trPr>
          <w:cantSplit/>
        </w:trPr>
        <w:tc>
          <w:tcPr>
            <w:tcW w:w="565" w:type="dxa"/>
          </w:tcPr>
          <w:p w:rsidR="001E035B" w:rsidRDefault="001E035B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1E035B" w:rsidRPr="00F7565E" w:rsidRDefault="00F7565E" w:rsidP="00F7565E">
            <w:pPr>
              <w:spacing w:before="40" w:after="40"/>
              <w:rPr>
                <w:lang w:eastAsia="da-DK"/>
              </w:rPr>
            </w:pPr>
            <w:r w:rsidRPr="00F7565E">
              <w:rPr>
                <w:lang w:eastAsia="da-DK"/>
              </w:rPr>
              <w:t>Klar til at m</w:t>
            </w:r>
            <w:r w:rsidR="001E035B" w:rsidRPr="00F7565E">
              <w:rPr>
                <w:lang w:eastAsia="da-DK"/>
              </w:rPr>
              <w:t>odtage</w:t>
            </w:r>
            <w:r>
              <w:rPr>
                <w:lang w:eastAsia="da-DK"/>
              </w:rPr>
              <w:t>/</w:t>
            </w:r>
            <w:r w:rsidR="001E035B" w:rsidRPr="00F7565E">
              <w:rPr>
                <w:lang w:eastAsia="da-DK"/>
              </w:rPr>
              <w:t xml:space="preserve">udstille SKAT hændelsesbeskeder ift. vurdering i testmiljø  </w:t>
            </w:r>
          </w:p>
        </w:tc>
        <w:tc>
          <w:tcPr>
            <w:tcW w:w="1501" w:type="dxa"/>
          </w:tcPr>
          <w:p w:rsidR="001E035B" w:rsidRDefault="001E035B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1E035B" w:rsidTr="002A641A">
        <w:trPr>
          <w:cantSplit/>
        </w:trPr>
        <w:tc>
          <w:tcPr>
            <w:tcW w:w="565" w:type="dxa"/>
          </w:tcPr>
          <w:p w:rsidR="001E035B" w:rsidRDefault="001E035B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1E035B" w:rsidRDefault="00F7565E" w:rsidP="00F7565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Klar til at m</w:t>
            </w:r>
            <w:r w:rsidR="001E035B">
              <w:rPr>
                <w:lang w:eastAsia="da-DK"/>
              </w:rPr>
              <w:t>odtage</w:t>
            </w:r>
            <w:r>
              <w:rPr>
                <w:lang w:eastAsia="da-DK"/>
              </w:rPr>
              <w:t>/</w:t>
            </w:r>
            <w:r w:rsidR="001E035B">
              <w:rPr>
                <w:lang w:eastAsia="da-DK"/>
              </w:rPr>
              <w:t>udstille SKAT hændelsesbeskeder ift. vurdering i produktion</w:t>
            </w:r>
          </w:p>
        </w:tc>
        <w:tc>
          <w:tcPr>
            <w:tcW w:w="1501" w:type="dxa"/>
          </w:tcPr>
          <w:p w:rsidR="001E035B" w:rsidRDefault="001E035B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9C7ABB" w:rsidTr="002A641A">
        <w:trPr>
          <w:cantSplit/>
        </w:trPr>
        <w:tc>
          <w:tcPr>
            <w:tcW w:w="565" w:type="dxa"/>
          </w:tcPr>
          <w:p w:rsidR="009C7ABB" w:rsidRDefault="009C7ABB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  <w:tc>
          <w:tcPr>
            <w:tcW w:w="7454" w:type="dxa"/>
          </w:tcPr>
          <w:p w:rsidR="009C7ABB" w:rsidRDefault="009C7ABB" w:rsidP="0083385F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501" w:type="dxa"/>
          </w:tcPr>
          <w:p w:rsidR="009C7ABB" w:rsidRDefault="009C7ABB" w:rsidP="00621C1A">
            <w:pPr>
              <w:spacing w:before="40" w:after="40"/>
              <w:jc w:val="center"/>
              <w:rPr>
                <w:lang w:eastAsia="da-DK"/>
              </w:rPr>
            </w:pPr>
          </w:p>
        </w:tc>
      </w:tr>
    </w:tbl>
    <w:p w:rsidR="00846FDD" w:rsidRDefault="00846FDD" w:rsidP="00846FDD">
      <w:pPr>
        <w:keepNext/>
        <w:spacing w:after="0"/>
        <w:rPr>
          <w:lang w:eastAsia="da-DK"/>
        </w:rPr>
      </w:pPr>
    </w:p>
    <w:p w:rsidR="00846FDD" w:rsidRDefault="00846FDD" w:rsidP="00846FDD">
      <w:pPr>
        <w:keepNext/>
        <w:spacing w:after="0"/>
        <w:rPr>
          <w:lang w:eastAsia="da-DK"/>
        </w:rPr>
      </w:pPr>
      <w:r>
        <w:rPr>
          <w:lang w:eastAsia="da-DK"/>
        </w:rPr>
        <w:t>GD7 har efter mødet fremsend</w:t>
      </w:r>
      <w:r w:rsidR="00A16F56">
        <w:rPr>
          <w:lang w:eastAsia="da-DK"/>
        </w:rPr>
        <w:t>t følgende input vedr. milepæle:</w:t>
      </w:r>
    </w:p>
    <w:p w:rsidR="00846FDD" w:rsidRDefault="00846FDD" w:rsidP="00846FDD">
      <w:pPr>
        <w:keepNext/>
        <w:spacing w:after="0"/>
        <w:rPr>
          <w:lang w:eastAsia="da-DK"/>
        </w:rPr>
      </w:pPr>
    </w:p>
    <w:p w:rsidR="00846FDD" w:rsidRDefault="00846FDD" w:rsidP="00846FDD">
      <w:r>
        <w:t xml:space="preserve">Ift. Planlægningen af implementeringen på datafordeleren og sikring af at vores fælles milepæle er afstemt, så er det følgende milepæle som </w:t>
      </w:r>
      <w:proofErr w:type="spellStart"/>
      <w:r>
        <w:t>datafordelerprojektet</w:t>
      </w:r>
      <w:proofErr w:type="spellEnd"/>
      <w:r>
        <w:t xml:space="preserve"> umiddelbart har behov for at få aftalt. </w:t>
      </w:r>
    </w:p>
    <w:p w:rsidR="00846FDD" w:rsidRDefault="00846FDD" w:rsidP="00846FDD">
      <w:pPr>
        <w:pStyle w:val="Listeafsnit"/>
        <w:numPr>
          <w:ilvl w:val="0"/>
          <w:numId w:val="33"/>
        </w:numPr>
        <w:spacing w:after="0" w:line="240" w:lineRule="auto"/>
        <w:contextualSpacing w:val="0"/>
      </w:pPr>
      <w:r>
        <w:t xml:space="preserve">Levering af prøvedata (et fuldt udtræk af de data som registeret ligger inde med, </w:t>
      </w:r>
      <w:proofErr w:type="spellStart"/>
      <w:r>
        <w:t>mappet</w:t>
      </w:r>
      <w:proofErr w:type="spellEnd"/>
      <w:r>
        <w:t xml:space="preserve"> til jeres egne udstillingsmodeller)</w:t>
      </w:r>
    </w:p>
    <w:p w:rsidR="00846FDD" w:rsidRDefault="00846FDD" w:rsidP="00846FDD">
      <w:pPr>
        <w:pStyle w:val="Listeafsnit"/>
        <w:numPr>
          <w:ilvl w:val="0"/>
          <w:numId w:val="33"/>
        </w:numPr>
        <w:spacing w:after="0" w:line="240" w:lineRule="auto"/>
        <w:contextualSpacing w:val="0"/>
      </w:pPr>
      <w:r>
        <w:t>Levering af udstillingsmodeller (vi forventer at de er godkendt inden de leveres til datafordeler pr</w:t>
      </w:r>
      <w:r>
        <w:t>o</w:t>
      </w:r>
      <w:r w:rsidR="00936C48">
        <w:t>jektet, så hvis I</w:t>
      </w:r>
      <w:r>
        <w:t xml:space="preserve"> ikke har medregnet kvalitetssikringen i jeres tidsplaner, så marker det ved at skrive milepælen + tid til godkendelse i GD8)</w:t>
      </w:r>
    </w:p>
    <w:p w:rsidR="00846FDD" w:rsidRDefault="00846FDD" w:rsidP="00846FDD">
      <w:pPr>
        <w:pStyle w:val="Listeafsnit"/>
        <w:numPr>
          <w:ilvl w:val="0"/>
          <w:numId w:val="33"/>
        </w:numPr>
        <w:spacing w:after="0" w:line="240" w:lineRule="auto"/>
        <w:contextualSpacing w:val="0"/>
      </w:pPr>
      <w:r>
        <w:t>Tidspunkt(er) for hvornår i er klar til at aftale følgende</w:t>
      </w:r>
    </w:p>
    <w:p w:rsidR="00846FDD" w:rsidRDefault="00846FDD" w:rsidP="00846FDD">
      <w:pPr>
        <w:pStyle w:val="Listeafsnit"/>
        <w:numPr>
          <w:ilvl w:val="1"/>
          <w:numId w:val="33"/>
        </w:numPr>
        <w:spacing w:after="0" w:line="240" w:lineRule="auto"/>
        <w:contextualSpacing w:val="0"/>
      </w:pPr>
      <w:r>
        <w:t>Sikkerhedsvurdering af data</w:t>
      </w:r>
    </w:p>
    <w:p w:rsidR="00846FDD" w:rsidRDefault="00846FDD" w:rsidP="00846FDD">
      <w:pPr>
        <w:pStyle w:val="Listeafsnit"/>
        <w:numPr>
          <w:ilvl w:val="1"/>
          <w:numId w:val="33"/>
        </w:numPr>
        <w:spacing w:after="0" w:line="240" w:lineRule="auto"/>
        <w:contextualSpacing w:val="0"/>
      </w:pPr>
      <w:r>
        <w:t>Integrationsmodel mod datafordeler (kan kræve at i har en leverandør på plads)</w:t>
      </w:r>
    </w:p>
    <w:p w:rsidR="00846FDD" w:rsidRDefault="00846FDD" w:rsidP="00846FDD">
      <w:pPr>
        <w:pStyle w:val="Listeafsnit"/>
        <w:numPr>
          <w:ilvl w:val="1"/>
          <w:numId w:val="33"/>
        </w:numPr>
        <w:spacing w:after="0" w:line="240" w:lineRule="auto"/>
        <w:contextualSpacing w:val="0"/>
      </w:pPr>
      <w:r>
        <w:lastRenderedPageBreak/>
        <w:t>Hvilke servicemålsgrupper de enkelte tjenester skal passe ind i</w:t>
      </w:r>
    </w:p>
    <w:p w:rsidR="00846FDD" w:rsidRDefault="00846FDD" w:rsidP="00846FDD">
      <w:pPr>
        <w:pStyle w:val="Listeafsnit"/>
        <w:numPr>
          <w:ilvl w:val="1"/>
          <w:numId w:val="33"/>
        </w:numPr>
        <w:spacing w:after="0" w:line="240" w:lineRule="auto"/>
        <w:contextualSpacing w:val="0"/>
      </w:pPr>
      <w:r>
        <w:t>Processer for viderestilling af henvendelser (</w:t>
      </w:r>
      <w:proofErr w:type="spellStart"/>
      <w:r>
        <w:t>issues</w:t>
      </w:r>
      <w:proofErr w:type="spellEnd"/>
      <w:r>
        <w:t xml:space="preserve"> og brugerhenvendelser)</w:t>
      </w:r>
    </w:p>
    <w:p w:rsidR="00846FDD" w:rsidRDefault="00846FDD" w:rsidP="00846FDD">
      <w:pPr>
        <w:pStyle w:val="Listeafsnit"/>
        <w:numPr>
          <w:ilvl w:val="0"/>
          <w:numId w:val="33"/>
        </w:numPr>
        <w:spacing w:after="0" w:line="240" w:lineRule="auto"/>
        <w:contextualSpacing w:val="0"/>
      </w:pPr>
      <w:r>
        <w:t>Levering af tjenestespecifikationer for alle hændelser, webservices og fildistributionsservices der skal leveres på datafordelen</w:t>
      </w:r>
    </w:p>
    <w:p w:rsidR="00846FDD" w:rsidRDefault="00846FDD" w:rsidP="00846FDD">
      <w:pPr>
        <w:pStyle w:val="Listeafsnit"/>
        <w:numPr>
          <w:ilvl w:val="0"/>
          <w:numId w:val="33"/>
        </w:numPr>
        <w:spacing w:after="0" w:line="240" w:lineRule="auto"/>
        <w:contextualSpacing w:val="0"/>
      </w:pPr>
      <w:r>
        <w:t xml:space="preserve">Tidspunkt for hvornår jeres del af integrationen mod datafordeleren er </w:t>
      </w:r>
      <w:proofErr w:type="spellStart"/>
      <w:r>
        <w:t>færdigudvilket</w:t>
      </w:r>
      <w:proofErr w:type="spellEnd"/>
      <w:r>
        <w:t>.</w:t>
      </w:r>
    </w:p>
    <w:p w:rsidR="00846FDD" w:rsidRDefault="00846FDD" w:rsidP="00846FDD">
      <w:pPr>
        <w:pStyle w:val="Listeafsnit"/>
        <w:numPr>
          <w:ilvl w:val="0"/>
          <w:numId w:val="33"/>
        </w:numPr>
        <w:spacing w:after="0" w:line="240" w:lineRule="auto"/>
        <w:contextualSpacing w:val="0"/>
      </w:pPr>
      <w:r>
        <w:t>Tidspunkt for hvornår i forventer at tjenester er færdigudviklet på datafordeleren.</w:t>
      </w:r>
    </w:p>
    <w:p w:rsidR="00846FDD" w:rsidRDefault="002C1A5F" w:rsidP="002C1A5F">
      <w:pPr>
        <w:spacing w:before="120"/>
      </w:pPr>
      <w:r>
        <w:t>Alle</w:t>
      </w:r>
      <w:r w:rsidR="00846FDD">
        <w:t xml:space="preserve"> milepæle </w:t>
      </w:r>
      <w:r>
        <w:t xml:space="preserve">skal angives </w:t>
      </w:r>
      <w:r w:rsidR="00846FDD">
        <w:t>per register, altså alle ovenstående punkter for matriklen, DAR (AWS 5), BBR 2.0, EJER og DAGI</w:t>
      </w:r>
      <w:r>
        <w:t>. Vi bør nok</w:t>
      </w:r>
      <w:r w:rsidR="00846FDD">
        <w:t xml:space="preserve"> arbejde med </w:t>
      </w:r>
      <w:proofErr w:type="spellStart"/>
      <w:r w:rsidR="00846FDD">
        <w:t>best</w:t>
      </w:r>
      <w:proofErr w:type="spellEnd"/>
      <w:r w:rsidR="00846FDD">
        <w:t xml:space="preserve"> ca</w:t>
      </w:r>
      <w:r w:rsidR="00EB6E70">
        <w:t>se/</w:t>
      </w:r>
      <w:proofErr w:type="spellStart"/>
      <w:r w:rsidR="00EB6E70">
        <w:t>worst</w:t>
      </w:r>
      <w:proofErr w:type="spellEnd"/>
      <w:r w:rsidR="00EB6E70">
        <w:t> </w:t>
      </w:r>
      <w:r w:rsidR="00846FDD">
        <w:t>case milepæle.</w:t>
      </w:r>
    </w:p>
    <w:p w:rsidR="00846FDD" w:rsidRDefault="00846FDD" w:rsidP="002C1A5F">
      <w:pPr>
        <w:spacing w:after="0"/>
      </w:pPr>
      <w:r>
        <w:t xml:space="preserve">Eksempel. </w:t>
      </w:r>
    </w:p>
    <w:p w:rsidR="00846FDD" w:rsidRDefault="00846FDD" w:rsidP="00846FDD">
      <w:r>
        <w:t xml:space="preserve">DAGI kan </w:t>
      </w:r>
      <w:r w:rsidR="00EB6E70">
        <w:t>”</w:t>
      </w:r>
      <w:proofErr w:type="spellStart"/>
      <w:r>
        <w:t>best</w:t>
      </w:r>
      <w:proofErr w:type="spellEnd"/>
      <w:r>
        <w:t xml:space="preserve"> case</w:t>
      </w:r>
      <w:r w:rsidR="00EB6E70">
        <w:t>”</w:t>
      </w:r>
      <w:r>
        <w:t xml:space="preserve"> levere prøvedata til data</w:t>
      </w:r>
      <w:r w:rsidR="00EB6E70">
        <w:t xml:space="preserve">fordeler 30. september 2014 og </w:t>
      </w:r>
      <w:proofErr w:type="spellStart"/>
      <w:r>
        <w:t>worst</w:t>
      </w:r>
      <w:proofErr w:type="spellEnd"/>
      <w:r>
        <w:t xml:space="preserve"> case den 30. nove</w:t>
      </w:r>
      <w:r>
        <w:t>m</w:t>
      </w:r>
      <w:r>
        <w:t>ber. Osv.</w:t>
      </w:r>
    </w:p>
    <w:p w:rsidR="00A20598" w:rsidRPr="005B59ED" w:rsidRDefault="00A20598" w:rsidP="009C7ABB">
      <w:pPr>
        <w:pStyle w:val="Overskrift3"/>
        <w:spacing w:before="360"/>
      </w:pPr>
      <w:r w:rsidRPr="005B59ED">
        <w:t>Oversigt over projektets arbejdspakker</w:t>
      </w:r>
    </w:p>
    <w:p w:rsidR="008631B1" w:rsidRDefault="008631B1" w:rsidP="009C7ABB">
      <w:pPr>
        <w:keepNext/>
        <w:spacing w:after="0"/>
        <w:rPr>
          <w:lang w:eastAsia="da-DK"/>
        </w:rPr>
      </w:pPr>
      <w:r>
        <w:rPr>
          <w:lang w:eastAsia="da-DK"/>
        </w:rPr>
        <w:t>Hvis vi får behov for at synliggøre GD7 arbejdspakker i GD1/GD2 implementeringsplanerne indsættes disse nedenfor</w:t>
      </w:r>
      <w:r w:rsidR="005B59ED">
        <w:rPr>
          <w:lang w:eastAsia="da-DK"/>
        </w:rPr>
        <w:t>,</w:t>
      </w:r>
      <w:r>
        <w:rPr>
          <w:lang w:eastAsia="da-DK"/>
        </w:rPr>
        <w:t xml:space="preserve"> og vi skal have a</w:t>
      </w:r>
      <w:r w:rsidR="005B59ED">
        <w:rPr>
          <w:lang w:eastAsia="da-DK"/>
        </w:rPr>
        <w:t>ftalt en deadline f</w:t>
      </w:r>
      <w:r>
        <w:rPr>
          <w:lang w:eastAsia="da-DK"/>
        </w:rPr>
        <w:t>or beskrivelse af disse.</w:t>
      </w:r>
    </w:p>
    <w:p w:rsidR="00A20598" w:rsidRDefault="008631B1" w:rsidP="009C7ABB">
      <w:pPr>
        <w:keepNext/>
        <w:spacing w:after="120"/>
        <w:rPr>
          <w:lang w:eastAsia="da-DK"/>
        </w:rPr>
      </w:pPr>
      <w:r>
        <w:rPr>
          <w:lang w:eastAsia="da-DK"/>
        </w:rPr>
        <w:t xml:space="preserve">Alternativt er afhængigheder kun i form af afhængigheder til </w:t>
      </w:r>
      <w:r w:rsidR="005B59ED">
        <w:rPr>
          <w:lang w:eastAsia="da-DK"/>
        </w:rPr>
        <w:t xml:space="preserve">GD7 </w:t>
      </w:r>
      <w:r>
        <w:rPr>
          <w:lang w:eastAsia="da-DK"/>
        </w:rPr>
        <w:t>milepæle.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026"/>
        <w:gridCol w:w="6301"/>
        <w:gridCol w:w="1192"/>
        <w:gridCol w:w="1165"/>
      </w:tblGrid>
      <w:tr w:rsidR="00A20598" w:rsidRPr="00A20598" w:rsidTr="001E035B">
        <w:trPr>
          <w:cantSplit/>
          <w:tblHeader/>
        </w:trPr>
        <w:tc>
          <w:tcPr>
            <w:tcW w:w="1026" w:type="dxa"/>
            <w:shd w:val="clear" w:color="auto" w:fill="B6DDE8" w:themeFill="accent5" w:themeFillTint="66"/>
          </w:tcPr>
          <w:p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Nummer</w:t>
            </w:r>
          </w:p>
        </w:tc>
        <w:tc>
          <w:tcPr>
            <w:tcW w:w="6301" w:type="dxa"/>
            <w:shd w:val="clear" w:color="auto" w:fill="B6DDE8" w:themeFill="accent5" w:themeFillTint="66"/>
          </w:tcPr>
          <w:p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Navn</w:t>
            </w:r>
          </w:p>
        </w:tc>
        <w:tc>
          <w:tcPr>
            <w:tcW w:w="1192" w:type="dxa"/>
            <w:shd w:val="clear" w:color="auto" w:fill="B6DDE8" w:themeFill="accent5" w:themeFillTint="66"/>
          </w:tcPr>
          <w:p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Startdate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Slutdato</w:t>
            </w:r>
          </w:p>
        </w:tc>
      </w:tr>
      <w:tr w:rsidR="00A20598" w:rsidTr="001E035B">
        <w:trPr>
          <w:cantSplit/>
        </w:trPr>
        <w:tc>
          <w:tcPr>
            <w:tcW w:w="1026" w:type="dxa"/>
          </w:tcPr>
          <w:p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:rsidTr="001E035B">
        <w:trPr>
          <w:cantSplit/>
        </w:trPr>
        <w:tc>
          <w:tcPr>
            <w:tcW w:w="1026" w:type="dxa"/>
          </w:tcPr>
          <w:p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9C7ABB" w:rsidTr="001E035B">
        <w:trPr>
          <w:cantSplit/>
        </w:trPr>
        <w:tc>
          <w:tcPr>
            <w:tcW w:w="1026" w:type="dxa"/>
          </w:tcPr>
          <w:p w:rsidR="009C7ABB" w:rsidRDefault="009C7ABB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:rsidR="009C7ABB" w:rsidRDefault="009C7ABB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:rsidR="009C7ABB" w:rsidRDefault="009C7ABB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:rsidR="009C7ABB" w:rsidRDefault="009C7ABB" w:rsidP="00A20598">
            <w:pPr>
              <w:spacing w:before="40" w:after="40"/>
              <w:rPr>
                <w:lang w:eastAsia="da-DK"/>
              </w:rPr>
            </w:pPr>
          </w:p>
        </w:tc>
      </w:tr>
      <w:tr w:rsidR="009C7ABB" w:rsidTr="001E035B">
        <w:trPr>
          <w:cantSplit/>
        </w:trPr>
        <w:tc>
          <w:tcPr>
            <w:tcW w:w="1026" w:type="dxa"/>
          </w:tcPr>
          <w:p w:rsidR="009C7ABB" w:rsidRDefault="009C7ABB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:rsidR="009C7ABB" w:rsidRDefault="009C7ABB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:rsidR="009C7ABB" w:rsidRDefault="009C7ABB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:rsidR="009C7ABB" w:rsidRDefault="009C7ABB" w:rsidP="00A20598">
            <w:pPr>
              <w:spacing w:before="40" w:after="40"/>
              <w:rPr>
                <w:lang w:eastAsia="da-DK"/>
              </w:rPr>
            </w:pPr>
          </w:p>
        </w:tc>
      </w:tr>
      <w:tr w:rsidR="009C7ABB" w:rsidTr="001E035B">
        <w:trPr>
          <w:cantSplit/>
        </w:trPr>
        <w:tc>
          <w:tcPr>
            <w:tcW w:w="1026" w:type="dxa"/>
          </w:tcPr>
          <w:p w:rsidR="009C7ABB" w:rsidRDefault="009C7ABB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:rsidR="009C7ABB" w:rsidRDefault="009C7ABB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:rsidR="009C7ABB" w:rsidRDefault="009C7ABB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:rsidR="009C7ABB" w:rsidRDefault="009C7ABB" w:rsidP="00A20598">
            <w:pPr>
              <w:spacing w:before="40" w:after="40"/>
              <w:rPr>
                <w:lang w:eastAsia="da-DK"/>
              </w:rPr>
            </w:pPr>
          </w:p>
        </w:tc>
      </w:tr>
    </w:tbl>
    <w:p w:rsidR="00AA1F98" w:rsidRDefault="00AA1F98" w:rsidP="00AA4F44">
      <w:pPr>
        <w:spacing w:after="0"/>
        <w:rPr>
          <w:lang w:eastAsia="da-DK"/>
        </w:rPr>
      </w:pPr>
    </w:p>
    <w:p w:rsidR="0043543C" w:rsidRDefault="0043543C" w:rsidP="0043543C">
      <w:pPr>
        <w:pStyle w:val="Overskrift3"/>
        <w:rPr>
          <w:b/>
        </w:rPr>
      </w:pPr>
      <w:r>
        <w:rPr>
          <w:b/>
        </w:rPr>
        <w:t>Agenda punkt 5</w:t>
      </w:r>
      <w:r w:rsidRPr="001E035B">
        <w:rPr>
          <w:b/>
        </w:rPr>
        <w:t xml:space="preserve">: </w:t>
      </w:r>
      <w:r>
        <w:rPr>
          <w:b/>
        </w:rPr>
        <w:t>Øvrige problemstillinger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984"/>
        <w:gridCol w:w="2866"/>
      </w:tblGrid>
      <w:tr w:rsidR="00CF30D0" w:rsidRPr="00B4089C" w:rsidTr="00E72984">
        <w:tc>
          <w:tcPr>
            <w:tcW w:w="4820" w:type="dxa"/>
            <w:shd w:val="clear" w:color="auto" w:fill="B6DDE8" w:themeFill="accent5" w:themeFillTint="66"/>
          </w:tcPr>
          <w:p w:rsidR="0043543C" w:rsidRPr="00B4089C" w:rsidRDefault="0043543C" w:rsidP="00E72984">
            <w:pPr>
              <w:spacing w:before="60" w:after="60"/>
              <w:rPr>
                <w:b/>
                <w:lang w:eastAsia="da-DK"/>
              </w:rPr>
            </w:pPr>
            <w:r w:rsidRPr="00B4089C">
              <w:rPr>
                <w:b/>
                <w:lang w:eastAsia="da-DK"/>
              </w:rPr>
              <w:t>Problemstilling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43543C" w:rsidRPr="00B4089C" w:rsidRDefault="0043543C" w:rsidP="00E72984">
            <w:pPr>
              <w:spacing w:before="60" w:after="60"/>
              <w:rPr>
                <w:b/>
                <w:lang w:eastAsia="da-DK"/>
              </w:rPr>
            </w:pPr>
            <w:r w:rsidRPr="00B4089C">
              <w:rPr>
                <w:b/>
                <w:lang w:eastAsia="da-DK"/>
              </w:rPr>
              <w:t>Involverede parter</w:t>
            </w:r>
          </w:p>
        </w:tc>
        <w:tc>
          <w:tcPr>
            <w:tcW w:w="2866" w:type="dxa"/>
            <w:shd w:val="clear" w:color="auto" w:fill="B6DDE8" w:themeFill="accent5" w:themeFillTint="66"/>
          </w:tcPr>
          <w:p w:rsidR="0043543C" w:rsidRPr="00B4089C" w:rsidRDefault="0043543C" w:rsidP="00E72984">
            <w:pPr>
              <w:spacing w:before="60" w:after="60"/>
              <w:rPr>
                <w:b/>
                <w:lang w:eastAsia="da-DK"/>
              </w:rPr>
            </w:pPr>
            <w:r w:rsidRPr="00B4089C">
              <w:rPr>
                <w:b/>
                <w:lang w:eastAsia="da-DK"/>
              </w:rPr>
              <w:t>Forslag til handling</w:t>
            </w:r>
          </w:p>
        </w:tc>
      </w:tr>
      <w:tr w:rsidR="0043543C" w:rsidTr="00E72984">
        <w:tc>
          <w:tcPr>
            <w:tcW w:w="4820" w:type="dxa"/>
          </w:tcPr>
          <w:p w:rsidR="00CF30D0" w:rsidRDefault="00110FC3" w:rsidP="00E72984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 xml:space="preserve">GD1 og GD2 har behov for at DF </w:t>
            </w:r>
            <w:r w:rsidR="00CF30D0">
              <w:rPr>
                <w:lang w:eastAsia="da-DK"/>
              </w:rPr>
              <w:t>Udstille</w:t>
            </w:r>
            <w:r>
              <w:rPr>
                <w:lang w:eastAsia="da-DK"/>
              </w:rPr>
              <w:t>r</w:t>
            </w:r>
            <w:r w:rsidR="00CF30D0">
              <w:rPr>
                <w:lang w:eastAsia="da-DK"/>
              </w:rPr>
              <w:t xml:space="preserve"> </w:t>
            </w:r>
            <w:r w:rsidR="00C837DF">
              <w:rPr>
                <w:lang w:eastAsia="da-DK"/>
              </w:rPr>
              <w:t xml:space="preserve">CPR og </w:t>
            </w:r>
            <w:r>
              <w:rPr>
                <w:lang w:eastAsia="da-DK"/>
              </w:rPr>
              <w:t>CVR data, bl.a. til brug for Ejerfortegnelsen:</w:t>
            </w:r>
          </w:p>
          <w:p w:rsidR="00110FC3" w:rsidRDefault="00110FC3" w:rsidP="00E72984">
            <w:pPr>
              <w:spacing w:before="60" w:after="60"/>
              <w:rPr>
                <w:lang w:eastAsia="da-DK"/>
              </w:rPr>
            </w:pPr>
          </w:p>
          <w:p w:rsidR="00CF30D0" w:rsidRPr="00A16F56" w:rsidRDefault="00110FC3" w:rsidP="00110FC3">
            <w:pPr>
              <w:spacing w:before="60" w:after="60"/>
              <w:rPr>
                <w:color w:val="FF0000"/>
                <w:lang w:eastAsia="da-DK"/>
              </w:rPr>
            </w:pPr>
            <w:r>
              <w:rPr>
                <w:lang w:eastAsia="da-DK"/>
              </w:rPr>
              <w:t xml:space="preserve">GD7 gør sit bedste for at CPR/CVR data er til stede og </w:t>
            </w:r>
            <w:r w:rsidR="00CF30D0" w:rsidRPr="00110FC3">
              <w:rPr>
                <w:color w:val="000000" w:themeColor="text1"/>
                <w:lang w:eastAsia="da-DK"/>
              </w:rPr>
              <w:t xml:space="preserve">GD1 og GD2 tager det som forudsætning, at data er til stede specielt ift. </w:t>
            </w:r>
            <w:proofErr w:type="spellStart"/>
            <w:r w:rsidR="00CF30D0" w:rsidRPr="00110FC3">
              <w:rPr>
                <w:color w:val="000000" w:themeColor="text1"/>
                <w:lang w:eastAsia="da-DK"/>
              </w:rPr>
              <w:t>Ejerf</w:t>
            </w:r>
            <w:proofErr w:type="spellEnd"/>
            <w:r w:rsidR="00CF30D0" w:rsidRPr="00110FC3">
              <w:rPr>
                <w:color w:val="000000" w:themeColor="text1"/>
                <w:lang w:eastAsia="da-DK"/>
              </w:rPr>
              <w:t>.</w:t>
            </w:r>
          </w:p>
        </w:tc>
        <w:tc>
          <w:tcPr>
            <w:tcW w:w="1984" w:type="dxa"/>
          </w:tcPr>
          <w:p w:rsidR="0043543C" w:rsidRDefault="00A16F56" w:rsidP="00E72984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GD1/GD2/GD7</w:t>
            </w:r>
          </w:p>
        </w:tc>
        <w:tc>
          <w:tcPr>
            <w:tcW w:w="2866" w:type="dxa"/>
          </w:tcPr>
          <w:p w:rsidR="0043543C" w:rsidRDefault="00A16F56" w:rsidP="00E72984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GD1/GD2 skal specificere hvornår der er behov for data.</w:t>
            </w:r>
          </w:p>
        </w:tc>
      </w:tr>
      <w:tr w:rsidR="0043543C" w:rsidTr="00E72984">
        <w:tc>
          <w:tcPr>
            <w:tcW w:w="4820" w:type="dxa"/>
          </w:tcPr>
          <w:p w:rsidR="00CF30D0" w:rsidRDefault="00163D31" w:rsidP="00163D31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 xml:space="preserve">Der er behov fro at DF fungerer som </w:t>
            </w:r>
            <w:r w:rsidR="00CF30D0">
              <w:rPr>
                <w:lang w:eastAsia="da-DK"/>
              </w:rPr>
              <w:t>Myndighed</w:t>
            </w:r>
            <w:r w:rsidR="00CF30D0">
              <w:rPr>
                <w:lang w:eastAsia="da-DK"/>
              </w:rPr>
              <w:t>s</w:t>
            </w:r>
            <w:r w:rsidR="00CF30D0">
              <w:rPr>
                <w:lang w:eastAsia="da-DK"/>
              </w:rPr>
              <w:t>fortegnelse</w:t>
            </w:r>
            <w:r>
              <w:rPr>
                <w:lang w:eastAsia="da-DK"/>
              </w:rPr>
              <w:t xml:space="preserve"> / organisationsregister / kommunet</w:t>
            </w:r>
            <w:r>
              <w:rPr>
                <w:lang w:eastAsia="da-DK"/>
              </w:rPr>
              <w:t>a</w:t>
            </w:r>
            <w:r>
              <w:rPr>
                <w:lang w:eastAsia="da-DK"/>
              </w:rPr>
              <w:t xml:space="preserve">bel /sognetabel med kommunenumre og </w:t>
            </w:r>
            <w:proofErr w:type="spellStart"/>
            <w:r>
              <w:rPr>
                <w:lang w:eastAsia="da-DK"/>
              </w:rPr>
              <w:t>sogn</w:t>
            </w:r>
            <w:r>
              <w:rPr>
                <w:lang w:eastAsia="da-DK"/>
              </w:rPr>
              <w:t>e</w:t>
            </w:r>
            <w:r>
              <w:rPr>
                <w:lang w:eastAsia="da-DK"/>
              </w:rPr>
              <w:t>grænder</w:t>
            </w:r>
            <w:proofErr w:type="spellEnd"/>
            <w:r>
              <w:rPr>
                <w:lang w:eastAsia="da-DK"/>
              </w:rPr>
              <w:t xml:space="preserve"> mv.</w:t>
            </w:r>
            <w:r w:rsidR="00CF30D0">
              <w:rPr>
                <w:lang w:eastAsia="da-DK"/>
              </w:rPr>
              <w:t xml:space="preserve"> til brug for DAGI.</w:t>
            </w:r>
            <w:r w:rsidR="005F4415">
              <w:rPr>
                <w:lang w:eastAsia="da-DK"/>
              </w:rPr>
              <w:t>?</w:t>
            </w:r>
          </w:p>
          <w:p w:rsidR="005F4415" w:rsidRDefault="005F4415" w:rsidP="00163D31">
            <w:pPr>
              <w:spacing w:before="60" w:after="60"/>
              <w:rPr>
                <w:lang w:eastAsia="da-DK"/>
              </w:rPr>
            </w:pPr>
          </w:p>
          <w:p w:rsidR="00163D31" w:rsidRDefault="00163D31" w:rsidP="00163D31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JRO har tidligere beskrevet dette som en opgave for DIGST.</w:t>
            </w:r>
          </w:p>
        </w:tc>
        <w:tc>
          <w:tcPr>
            <w:tcW w:w="1984" w:type="dxa"/>
          </w:tcPr>
          <w:p w:rsidR="0043543C" w:rsidRDefault="00A16F56" w:rsidP="00E72984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MBBL/DIGST</w:t>
            </w:r>
          </w:p>
        </w:tc>
        <w:tc>
          <w:tcPr>
            <w:tcW w:w="2866" w:type="dxa"/>
          </w:tcPr>
          <w:p w:rsidR="0043543C" w:rsidRDefault="00CF30D0" w:rsidP="00163D31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 xml:space="preserve">MBBL skal </w:t>
            </w:r>
            <w:r w:rsidR="00163D31">
              <w:rPr>
                <w:lang w:eastAsia="da-DK"/>
              </w:rPr>
              <w:t>afklare</w:t>
            </w:r>
            <w:r>
              <w:rPr>
                <w:lang w:eastAsia="da-DK"/>
              </w:rPr>
              <w:t xml:space="preserve"> med DIGST</w:t>
            </w:r>
          </w:p>
        </w:tc>
      </w:tr>
      <w:tr w:rsidR="0043543C" w:rsidTr="00E72984">
        <w:tc>
          <w:tcPr>
            <w:tcW w:w="4820" w:type="dxa"/>
          </w:tcPr>
          <w:p w:rsidR="0043543C" w:rsidRDefault="00427D07" w:rsidP="00E72984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 xml:space="preserve">Det vurderes at </w:t>
            </w:r>
            <w:r w:rsidR="00794D2B">
              <w:rPr>
                <w:lang w:eastAsia="da-DK"/>
              </w:rPr>
              <w:t>GD7 bør være repræsenteret i Projektforum for GD1 og GD2</w:t>
            </w:r>
          </w:p>
        </w:tc>
        <w:tc>
          <w:tcPr>
            <w:tcW w:w="1984" w:type="dxa"/>
          </w:tcPr>
          <w:p w:rsidR="0043543C" w:rsidRDefault="00A16F56" w:rsidP="00E72984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GD1/GD2/GD7</w:t>
            </w:r>
          </w:p>
        </w:tc>
        <w:tc>
          <w:tcPr>
            <w:tcW w:w="2866" w:type="dxa"/>
          </w:tcPr>
          <w:p w:rsidR="0043543C" w:rsidRDefault="00A16F56" w:rsidP="00E72984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Aftales nærmere mellem GD1/GD</w:t>
            </w:r>
            <w:r w:rsidR="00794D2B">
              <w:rPr>
                <w:lang w:eastAsia="da-DK"/>
              </w:rPr>
              <w:t>2/GD7</w:t>
            </w:r>
          </w:p>
        </w:tc>
      </w:tr>
    </w:tbl>
    <w:p w:rsidR="0043543C" w:rsidRDefault="0043543C" w:rsidP="0043543C">
      <w:pPr>
        <w:spacing w:after="0"/>
      </w:pPr>
    </w:p>
    <w:sectPr w:rsidR="0043543C" w:rsidSect="00DB1320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21" w:rsidRDefault="00B64D21" w:rsidP="00195D2C">
      <w:pPr>
        <w:spacing w:after="0" w:line="240" w:lineRule="auto"/>
      </w:pPr>
      <w:r>
        <w:separator/>
      </w:r>
    </w:p>
  </w:endnote>
  <w:endnote w:type="continuationSeparator" w:id="0">
    <w:p w:rsidR="00B64D21" w:rsidRDefault="00B64D21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9706"/>
      <w:docPartObj>
        <w:docPartGallery w:val="Page Numbers (Bottom of Page)"/>
        <w:docPartUnique/>
      </w:docPartObj>
    </w:sdtPr>
    <w:sdtEndPr/>
    <w:sdtContent>
      <w:p w:rsidR="00CB7F1A" w:rsidRDefault="00CB7F1A">
        <w:pPr>
          <w:pStyle w:val="Sidefo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298E">
          <w:rPr>
            <w:noProof/>
          </w:rPr>
          <w:t>1</w:t>
        </w:r>
        <w:r>
          <w:fldChar w:fldCharType="end"/>
        </w:r>
        <w:r>
          <w:t xml:space="preserve"> af </w:t>
        </w:r>
        <w:fldSimple w:instr=" NUMPAGES  \* Arabic  \* MERGEFORMAT ">
          <w:r w:rsidR="003D298E">
            <w:rPr>
              <w:noProof/>
            </w:rPr>
            <w:t>7</w:t>
          </w:r>
        </w:fldSimple>
      </w:p>
    </w:sdtContent>
  </w:sdt>
  <w:p w:rsidR="00CB7F1A" w:rsidRDefault="00CB7F1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498999"/>
      <w:docPartObj>
        <w:docPartGallery w:val="Page Numbers (Bottom of Page)"/>
        <w:docPartUnique/>
      </w:docPartObj>
    </w:sdtPr>
    <w:sdtEndPr/>
    <w:sdtContent>
      <w:p w:rsidR="00CB7F1A" w:rsidRDefault="00CB7F1A" w:rsidP="007A5515">
        <w:pPr>
          <w:pStyle w:val="Sidefo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af </w:t>
        </w:r>
        <w:fldSimple w:instr=" NUMPAGES  \* Arabic  \* MERGEFORMAT ">
          <w:r>
            <w:rPr>
              <w:noProof/>
            </w:rPr>
            <w:t>6</w:t>
          </w:r>
        </w:fldSimple>
      </w:p>
    </w:sdtContent>
  </w:sdt>
  <w:p w:rsidR="00CB7F1A" w:rsidRDefault="00CB7F1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21" w:rsidRDefault="00B64D21" w:rsidP="00195D2C">
      <w:pPr>
        <w:spacing w:after="0" w:line="240" w:lineRule="auto"/>
      </w:pPr>
      <w:r>
        <w:separator/>
      </w:r>
    </w:p>
  </w:footnote>
  <w:footnote w:type="continuationSeparator" w:id="0">
    <w:p w:rsidR="00B64D21" w:rsidRDefault="00B64D21" w:rsidP="00195D2C">
      <w:pPr>
        <w:spacing w:after="0" w:line="240" w:lineRule="auto"/>
      </w:pPr>
      <w:r>
        <w:continuationSeparator/>
      </w:r>
    </w:p>
  </w:footnote>
  <w:footnote w:id="1">
    <w:p w:rsidR="00A65D96" w:rsidRDefault="00A65D96">
      <w:pPr>
        <w:pStyle w:val="Fodnotetekst"/>
      </w:pPr>
      <w:r>
        <w:rPr>
          <w:rStyle w:val="Fodnotehenvisning"/>
        </w:rPr>
        <w:footnoteRef/>
      </w:r>
      <w:r>
        <w:t xml:space="preserve"> GD7/DIGST leverer dette format og øvrige krav til hvorledes servicespecifikationen skal afleveres.</w:t>
      </w:r>
    </w:p>
  </w:footnote>
  <w:footnote w:id="2">
    <w:p w:rsidR="00B247FB" w:rsidRDefault="00B247F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color w:val="00B050"/>
          <w:lang w:eastAsia="da-DK"/>
        </w:rPr>
        <w:t>jf. aftalte GD1/GD2/GD7 arkitekturrammer</w:t>
      </w:r>
    </w:p>
  </w:footnote>
  <w:footnote w:id="3">
    <w:p w:rsidR="00A65D96" w:rsidRDefault="00A65D96">
      <w:pPr>
        <w:pStyle w:val="Fodnotetekst"/>
      </w:pPr>
      <w:r>
        <w:rPr>
          <w:rStyle w:val="Fodnotehenvisning"/>
        </w:rPr>
        <w:footnoteRef/>
      </w:r>
      <w:r>
        <w:t xml:space="preserve"> D7/DIGST leverer dette format og øvrige krav til hvorledes specifikationen af hændelsesbeskeder skal afleveres.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1A" w:rsidRDefault="00CB7F1A" w:rsidP="007A5515">
    <w:pPr>
      <w:pStyle w:val="Sidehoved"/>
      <w:jc w:val="center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"GD1/GD2 - Milepæle til brug for replanlægning 3. kvartal 2014"  \* MERGEFORMAT </w:instrText>
    </w:r>
    <w:r>
      <w:rPr>
        <w:kern w:val="28"/>
        <w:sz w:val="16"/>
      </w:rPr>
      <w:fldChar w:fldCharType="separate"/>
    </w:r>
    <w:r>
      <w:rPr>
        <w:kern w:val="28"/>
        <w:sz w:val="16"/>
      </w:rPr>
      <w:t xml:space="preserve">GD1/GD2 - Milepæle til brug for </w:t>
    </w:r>
    <w:proofErr w:type="spellStart"/>
    <w:r>
      <w:rPr>
        <w:kern w:val="28"/>
        <w:sz w:val="16"/>
      </w:rPr>
      <w:t>replanlægning</w:t>
    </w:r>
    <w:proofErr w:type="spellEnd"/>
    <w:r>
      <w:rPr>
        <w:kern w:val="28"/>
        <w:sz w:val="16"/>
      </w:rPr>
      <w:t xml:space="preserve"> 3. kvartal 2014</w:t>
    </w:r>
    <w:r>
      <w:rPr>
        <w:kern w:val="28"/>
        <w:sz w:val="16"/>
      </w:rPr>
      <w:fldChar w:fldCharType="end"/>
    </w:r>
  </w:p>
  <w:p w:rsidR="00CB7F1A" w:rsidRPr="006171CF" w:rsidRDefault="00CB7F1A" w:rsidP="007A5515">
    <w:pPr>
      <w:pStyle w:val="Sidehoved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:rsidR="00CB7F1A" w:rsidRDefault="00CB7F1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EDE"/>
    <w:multiLevelType w:val="hybridMultilevel"/>
    <w:tmpl w:val="FD4AA8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5228"/>
    <w:multiLevelType w:val="hybridMultilevel"/>
    <w:tmpl w:val="2BE092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75EF"/>
    <w:multiLevelType w:val="hybridMultilevel"/>
    <w:tmpl w:val="6A0EF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7103D"/>
    <w:multiLevelType w:val="hybridMultilevel"/>
    <w:tmpl w:val="2D2668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A68C5"/>
    <w:multiLevelType w:val="hybridMultilevel"/>
    <w:tmpl w:val="8AB82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1C54"/>
    <w:multiLevelType w:val="hybridMultilevel"/>
    <w:tmpl w:val="0AD034CC"/>
    <w:lvl w:ilvl="0" w:tplc="BDFE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CE4736">
      <w:numFmt w:val="none"/>
      <w:lvlText w:val=""/>
      <w:lvlJc w:val="left"/>
      <w:pPr>
        <w:tabs>
          <w:tab w:val="num" w:pos="360"/>
        </w:tabs>
      </w:pPr>
    </w:lvl>
    <w:lvl w:ilvl="2" w:tplc="6232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72E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C66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208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3E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1E8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9A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CB57A97"/>
    <w:multiLevelType w:val="hybridMultilevel"/>
    <w:tmpl w:val="AB149F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C6095"/>
    <w:multiLevelType w:val="hybridMultilevel"/>
    <w:tmpl w:val="80C0E65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174208"/>
    <w:multiLevelType w:val="hybridMultilevel"/>
    <w:tmpl w:val="6C86BDD2"/>
    <w:lvl w:ilvl="0" w:tplc="DA8A9B0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546D77"/>
    <w:multiLevelType w:val="hybridMultilevel"/>
    <w:tmpl w:val="5A4A4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106FA"/>
    <w:multiLevelType w:val="hybridMultilevel"/>
    <w:tmpl w:val="9E162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2323F"/>
    <w:multiLevelType w:val="hybridMultilevel"/>
    <w:tmpl w:val="D6725E2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BD5359"/>
    <w:multiLevelType w:val="hybridMultilevel"/>
    <w:tmpl w:val="8968D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F6EBF"/>
    <w:multiLevelType w:val="hybridMultilevel"/>
    <w:tmpl w:val="DDDA9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E7D40"/>
    <w:multiLevelType w:val="hybridMultilevel"/>
    <w:tmpl w:val="B17EB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6445B"/>
    <w:multiLevelType w:val="hybridMultilevel"/>
    <w:tmpl w:val="509CF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07315"/>
    <w:multiLevelType w:val="hybridMultilevel"/>
    <w:tmpl w:val="6078518E"/>
    <w:lvl w:ilvl="0" w:tplc="80ACBB4A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F4A36"/>
    <w:multiLevelType w:val="hybridMultilevel"/>
    <w:tmpl w:val="621EB56C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8">
    <w:nsid w:val="4FF409A3"/>
    <w:multiLevelType w:val="hybridMultilevel"/>
    <w:tmpl w:val="A6D855BA"/>
    <w:lvl w:ilvl="0" w:tplc="04D85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A628D"/>
    <w:multiLevelType w:val="hybridMultilevel"/>
    <w:tmpl w:val="EF6221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91F78"/>
    <w:multiLevelType w:val="hybridMultilevel"/>
    <w:tmpl w:val="11681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12565"/>
    <w:multiLevelType w:val="hybridMultilevel"/>
    <w:tmpl w:val="A710AE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761A7"/>
    <w:multiLevelType w:val="hybridMultilevel"/>
    <w:tmpl w:val="2A624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9584A"/>
    <w:multiLevelType w:val="hybridMultilevel"/>
    <w:tmpl w:val="CDFA85B8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>
    <w:nsid w:val="68FA0108"/>
    <w:multiLevelType w:val="hybridMultilevel"/>
    <w:tmpl w:val="30F6D5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81D86"/>
    <w:multiLevelType w:val="hybridMultilevel"/>
    <w:tmpl w:val="B0C88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F27F9"/>
    <w:multiLevelType w:val="hybridMultilevel"/>
    <w:tmpl w:val="78281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3B5B60"/>
    <w:multiLevelType w:val="hybridMultilevel"/>
    <w:tmpl w:val="8D3E24F4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77554E4C"/>
    <w:multiLevelType w:val="hybridMultilevel"/>
    <w:tmpl w:val="F06C0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4766E"/>
    <w:multiLevelType w:val="hybridMultilevel"/>
    <w:tmpl w:val="6C628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1336B"/>
    <w:multiLevelType w:val="hybridMultilevel"/>
    <w:tmpl w:val="A79EEA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7E0490"/>
    <w:multiLevelType w:val="hybridMultilevel"/>
    <w:tmpl w:val="95E4B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12"/>
  </w:num>
  <w:num w:numId="5">
    <w:abstractNumId w:val="5"/>
  </w:num>
  <w:num w:numId="6">
    <w:abstractNumId w:val="10"/>
  </w:num>
  <w:num w:numId="7">
    <w:abstractNumId w:val="28"/>
  </w:num>
  <w:num w:numId="8">
    <w:abstractNumId w:val="29"/>
  </w:num>
  <w:num w:numId="9">
    <w:abstractNumId w:val="31"/>
  </w:num>
  <w:num w:numId="10">
    <w:abstractNumId w:val="17"/>
  </w:num>
  <w:num w:numId="11">
    <w:abstractNumId w:val="23"/>
  </w:num>
  <w:num w:numId="12">
    <w:abstractNumId w:val="3"/>
  </w:num>
  <w:num w:numId="13">
    <w:abstractNumId w:val="26"/>
  </w:num>
  <w:num w:numId="14">
    <w:abstractNumId w:val="30"/>
  </w:num>
  <w:num w:numId="15">
    <w:abstractNumId w:val="13"/>
  </w:num>
  <w:num w:numId="16">
    <w:abstractNumId w:val="2"/>
  </w:num>
  <w:num w:numId="17">
    <w:abstractNumId w:val="25"/>
  </w:num>
  <w:num w:numId="18">
    <w:abstractNumId w:val="27"/>
  </w:num>
  <w:num w:numId="19">
    <w:abstractNumId w:val="15"/>
  </w:num>
  <w:num w:numId="20">
    <w:abstractNumId w:val="14"/>
  </w:num>
  <w:num w:numId="21">
    <w:abstractNumId w:val="0"/>
  </w:num>
  <w:num w:numId="22">
    <w:abstractNumId w:val="1"/>
  </w:num>
  <w:num w:numId="23">
    <w:abstractNumId w:val="8"/>
  </w:num>
  <w:num w:numId="24">
    <w:abstractNumId w:val="8"/>
  </w:num>
  <w:num w:numId="25">
    <w:abstractNumId w:val="11"/>
  </w:num>
  <w:num w:numId="26">
    <w:abstractNumId w:val="9"/>
  </w:num>
  <w:num w:numId="27">
    <w:abstractNumId w:val="6"/>
  </w:num>
  <w:num w:numId="28">
    <w:abstractNumId w:val="7"/>
  </w:num>
  <w:num w:numId="29">
    <w:abstractNumId w:val="19"/>
  </w:num>
  <w:num w:numId="30">
    <w:abstractNumId w:val="21"/>
  </w:num>
  <w:num w:numId="31">
    <w:abstractNumId w:val="20"/>
  </w:num>
  <w:num w:numId="32">
    <w:abstractNumId w:val="18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5"/>
    <w:rsid w:val="00013BAB"/>
    <w:rsid w:val="000159BA"/>
    <w:rsid w:val="00015B4A"/>
    <w:rsid w:val="00024B83"/>
    <w:rsid w:val="00030054"/>
    <w:rsid w:val="0003280F"/>
    <w:rsid w:val="00033FAA"/>
    <w:rsid w:val="00044F22"/>
    <w:rsid w:val="00050786"/>
    <w:rsid w:val="00053171"/>
    <w:rsid w:val="00055688"/>
    <w:rsid w:val="0005615B"/>
    <w:rsid w:val="00062EC3"/>
    <w:rsid w:val="00071367"/>
    <w:rsid w:val="000901AD"/>
    <w:rsid w:val="0009404D"/>
    <w:rsid w:val="000A536D"/>
    <w:rsid w:val="000B109D"/>
    <w:rsid w:val="000B260F"/>
    <w:rsid w:val="000C54F1"/>
    <w:rsid w:val="000D060A"/>
    <w:rsid w:val="00106B7D"/>
    <w:rsid w:val="00110361"/>
    <w:rsid w:val="00110FC3"/>
    <w:rsid w:val="00115606"/>
    <w:rsid w:val="00131057"/>
    <w:rsid w:val="001360AD"/>
    <w:rsid w:val="00137A78"/>
    <w:rsid w:val="001436D7"/>
    <w:rsid w:val="0015142B"/>
    <w:rsid w:val="00152D6D"/>
    <w:rsid w:val="00163D31"/>
    <w:rsid w:val="0017001F"/>
    <w:rsid w:val="00171CC4"/>
    <w:rsid w:val="00172D5C"/>
    <w:rsid w:val="001756FA"/>
    <w:rsid w:val="00177AB7"/>
    <w:rsid w:val="001817CF"/>
    <w:rsid w:val="001845FB"/>
    <w:rsid w:val="00184E96"/>
    <w:rsid w:val="00190D8C"/>
    <w:rsid w:val="00194A6D"/>
    <w:rsid w:val="00195D2C"/>
    <w:rsid w:val="00195E88"/>
    <w:rsid w:val="001A2FCF"/>
    <w:rsid w:val="001B3349"/>
    <w:rsid w:val="001C185B"/>
    <w:rsid w:val="001C7D29"/>
    <w:rsid w:val="001D2B38"/>
    <w:rsid w:val="001D325F"/>
    <w:rsid w:val="001D5880"/>
    <w:rsid w:val="001D7D27"/>
    <w:rsid w:val="001E035B"/>
    <w:rsid w:val="001E3C79"/>
    <w:rsid w:val="001E3E93"/>
    <w:rsid w:val="001F06D5"/>
    <w:rsid w:val="001F0FD4"/>
    <w:rsid w:val="001F40EA"/>
    <w:rsid w:val="001F4EA2"/>
    <w:rsid w:val="001F5F85"/>
    <w:rsid w:val="002240A1"/>
    <w:rsid w:val="002307C3"/>
    <w:rsid w:val="002309D9"/>
    <w:rsid w:val="00230C00"/>
    <w:rsid w:val="002329A0"/>
    <w:rsid w:val="00236768"/>
    <w:rsid w:val="00247161"/>
    <w:rsid w:val="00262DD2"/>
    <w:rsid w:val="00263D97"/>
    <w:rsid w:val="002716C0"/>
    <w:rsid w:val="00272DFA"/>
    <w:rsid w:val="002737EB"/>
    <w:rsid w:val="00280692"/>
    <w:rsid w:val="00280734"/>
    <w:rsid w:val="00287AAA"/>
    <w:rsid w:val="00296713"/>
    <w:rsid w:val="00296DA1"/>
    <w:rsid w:val="002A11E7"/>
    <w:rsid w:val="002A3795"/>
    <w:rsid w:val="002A641A"/>
    <w:rsid w:val="002A6A04"/>
    <w:rsid w:val="002B5DF0"/>
    <w:rsid w:val="002C1A5F"/>
    <w:rsid w:val="002C30DE"/>
    <w:rsid w:val="002C32F3"/>
    <w:rsid w:val="002D7174"/>
    <w:rsid w:val="002E1935"/>
    <w:rsid w:val="002E54CB"/>
    <w:rsid w:val="002E64F9"/>
    <w:rsid w:val="002E6BD5"/>
    <w:rsid w:val="002F0327"/>
    <w:rsid w:val="002F406F"/>
    <w:rsid w:val="002F7483"/>
    <w:rsid w:val="0030096F"/>
    <w:rsid w:val="00313C55"/>
    <w:rsid w:val="003153FF"/>
    <w:rsid w:val="00326F19"/>
    <w:rsid w:val="00334286"/>
    <w:rsid w:val="00352973"/>
    <w:rsid w:val="00354F6E"/>
    <w:rsid w:val="0037428D"/>
    <w:rsid w:val="003747F6"/>
    <w:rsid w:val="003750C7"/>
    <w:rsid w:val="00376B4E"/>
    <w:rsid w:val="00377CFB"/>
    <w:rsid w:val="00383A04"/>
    <w:rsid w:val="00385EDC"/>
    <w:rsid w:val="003879FD"/>
    <w:rsid w:val="00391DD5"/>
    <w:rsid w:val="003964B3"/>
    <w:rsid w:val="003A4E42"/>
    <w:rsid w:val="003A64A3"/>
    <w:rsid w:val="003B13E9"/>
    <w:rsid w:val="003B30A3"/>
    <w:rsid w:val="003C1F43"/>
    <w:rsid w:val="003D298E"/>
    <w:rsid w:val="003E4935"/>
    <w:rsid w:val="003F4E59"/>
    <w:rsid w:val="00400D55"/>
    <w:rsid w:val="004018F1"/>
    <w:rsid w:val="004033A4"/>
    <w:rsid w:val="004039CA"/>
    <w:rsid w:val="00411EE3"/>
    <w:rsid w:val="00412367"/>
    <w:rsid w:val="00415D27"/>
    <w:rsid w:val="00423D59"/>
    <w:rsid w:val="00424876"/>
    <w:rsid w:val="00427D07"/>
    <w:rsid w:val="004309C4"/>
    <w:rsid w:val="00434CA2"/>
    <w:rsid w:val="0043543C"/>
    <w:rsid w:val="00437755"/>
    <w:rsid w:val="004410DD"/>
    <w:rsid w:val="00443F77"/>
    <w:rsid w:val="004520D1"/>
    <w:rsid w:val="00453A96"/>
    <w:rsid w:val="004570EC"/>
    <w:rsid w:val="004571BF"/>
    <w:rsid w:val="00464DF0"/>
    <w:rsid w:val="0046660C"/>
    <w:rsid w:val="0047326B"/>
    <w:rsid w:val="00474322"/>
    <w:rsid w:val="0047587C"/>
    <w:rsid w:val="004812FA"/>
    <w:rsid w:val="004823BB"/>
    <w:rsid w:val="00482A47"/>
    <w:rsid w:val="0048463A"/>
    <w:rsid w:val="004B5430"/>
    <w:rsid w:val="004B59D1"/>
    <w:rsid w:val="004B73C5"/>
    <w:rsid w:val="004C10A7"/>
    <w:rsid w:val="004C12D1"/>
    <w:rsid w:val="004C33C2"/>
    <w:rsid w:val="004C6306"/>
    <w:rsid w:val="004D1D36"/>
    <w:rsid w:val="004D3D2A"/>
    <w:rsid w:val="004D71AC"/>
    <w:rsid w:val="004E1FC2"/>
    <w:rsid w:val="004E27CD"/>
    <w:rsid w:val="004E39AC"/>
    <w:rsid w:val="004E7516"/>
    <w:rsid w:val="004F2657"/>
    <w:rsid w:val="004F307E"/>
    <w:rsid w:val="00500446"/>
    <w:rsid w:val="00501C8F"/>
    <w:rsid w:val="0050384D"/>
    <w:rsid w:val="00504DBA"/>
    <w:rsid w:val="00507359"/>
    <w:rsid w:val="0050762B"/>
    <w:rsid w:val="00520D72"/>
    <w:rsid w:val="00521996"/>
    <w:rsid w:val="00522D17"/>
    <w:rsid w:val="005253F1"/>
    <w:rsid w:val="005262E4"/>
    <w:rsid w:val="00526736"/>
    <w:rsid w:val="00532F95"/>
    <w:rsid w:val="00533202"/>
    <w:rsid w:val="0053460F"/>
    <w:rsid w:val="005410F1"/>
    <w:rsid w:val="00544BCB"/>
    <w:rsid w:val="00553090"/>
    <w:rsid w:val="00572899"/>
    <w:rsid w:val="00575264"/>
    <w:rsid w:val="00580F06"/>
    <w:rsid w:val="0058452B"/>
    <w:rsid w:val="00595D71"/>
    <w:rsid w:val="0059768A"/>
    <w:rsid w:val="005A5819"/>
    <w:rsid w:val="005B02E9"/>
    <w:rsid w:val="005B0F0F"/>
    <w:rsid w:val="005B2230"/>
    <w:rsid w:val="005B2786"/>
    <w:rsid w:val="005B2F36"/>
    <w:rsid w:val="005B56E1"/>
    <w:rsid w:val="005B59ED"/>
    <w:rsid w:val="005B7457"/>
    <w:rsid w:val="005C4AD5"/>
    <w:rsid w:val="005C5CA6"/>
    <w:rsid w:val="005C61A2"/>
    <w:rsid w:val="005C6593"/>
    <w:rsid w:val="005D1C5A"/>
    <w:rsid w:val="005D4675"/>
    <w:rsid w:val="005E2F36"/>
    <w:rsid w:val="005E47C3"/>
    <w:rsid w:val="005E7E01"/>
    <w:rsid w:val="005F4415"/>
    <w:rsid w:val="00621C1A"/>
    <w:rsid w:val="00624310"/>
    <w:rsid w:val="00625CB8"/>
    <w:rsid w:val="00626B0A"/>
    <w:rsid w:val="00643523"/>
    <w:rsid w:val="00645B43"/>
    <w:rsid w:val="006534A3"/>
    <w:rsid w:val="00653869"/>
    <w:rsid w:val="0066531A"/>
    <w:rsid w:val="006677CC"/>
    <w:rsid w:val="00667BF9"/>
    <w:rsid w:val="00677A8E"/>
    <w:rsid w:val="00681CC6"/>
    <w:rsid w:val="00686BFF"/>
    <w:rsid w:val="0068780E"/>
    <w:rsid w:val="00692FB1"/>
    <w:rsid w:val="00696453"/>
    <w:rsid w:val="006A1C73"/>
    <w:rsid w:val="006A2B30"/>
    <w:rsid w:val="006B07F9"/>
    <w:rsid w:val="006C4255"/>
    <w:rsid w:val="006C56C8"/>
    <w:rsid w:val="006F1CBE"/>
    <w:rsid w:val="006F4F90"/>
    <w:rsid w:val="006F61C7"/>
    <w:rsid w:val="007069A2"/>
    <w:rsid w:val="0071012F"/>
    <w:rsid w:val="0071484D"/>
    <w:rsid w:val="0073249E"/>
    <w:rsid w:val="00787650"/>
    <w:rsid w:val="0079095F"/>
    <w:rsid w:val="00790AC1"/>
    <w:rsid w:val="007949EE"/>
    <w:rsid w:val="00794D2B"/>
    <w:rsid w:val="007A0492"/>
    <w:rsid w:val="007A0608"/>
    <w:rsid w:val="007A2A31"/>
    <w:rsid w:val="007A3D29"/>
    <w:rsid w:val="007A5515"/>
    <w:rsid w:val="007C09F6"/>
    <w:rsid w:val="007C18B4"/>
    <w:rsid w:val="007C1B85"/>
    <w:rsid w:val="007C312F"/>
    <w:rsid w:val="007C6B84"/>
    <w:rsid w:val="007C77AB"/>
    <w:rsid w:val="007D5A34"/>
    <w:rsid w:val="007D6314"/>
    <w:rsid w:val="007E0BCB"/>
    <w:rsid w:val="007E2782"/>
    <w:rsid w:val="007F3F7B"/>
    <w:rsid w:val="008008FC"/>
    <w:rsid w:val="00802861"/>
    <w:rsid w:val="00803169"/>
    <w:rsid w:val="00810153"/>
    <w:rsid w:val="00813AB1"/>
    <w:rsid w:val="00825E9C"/>
    <w:rsid w:val="00826FDE"/>
    <w:rsid w:val="008304BA"/>
    <w:rsid w:val="008312C1"/>
    <w:rsid w:val="008315BE"/>
    <w:rsid w:val="0083385F"/>
    <w:rsid w:val="00842B91"/>
    <w:rsid w:val="00843EE4"/>
    <w:rsid w:val="008453C2"/>
    <w:rsid w:val="00846C9B"/>
    <w:rsid w:val="00846FDD"/>
    <w:rsid w:val="008551A8"/>
    <w:rsid w:val="008623D2"/>
    <w:rsid w:val="008631B1"/>
    <w:rsid w:val="0086364A"/>
    <w:rsid w:val="0089459A"/>
    <w:rsid w:val="008953A6"/>
    <w:rsid w:val="008A004B"/>
    <w:rsid w:val="008A130A"/>
    <w:rsid w:val="008A2626"/>
    <w:rsid w:val="008A415A"/>
    <w:rsid w:val="008A5381"/>
    <w:rsid w:val="008B342B"/>
    <w:rsid w:val="008B6BA1"/>
    <w:rsid w:val="008C239E"/>
    <w:rsid w:val="008C4427"/>
    <w:rsid w:val="008D5B00"/>
    <w:rsid w:val="008E5495"/>
    <w:rsid w:val="008F0EB3"/>
    <w:rsid w:val="00904AE5"/>
    <w:rsid w:val="009051EE"/>
    <w:rsid w:val="00905A65"/>
    <w:rsid w:val="00913820"/>
    <w:rsid w:val="00914147"/>
    <w:rsid w:val="009217A0"/>
    <w:rsid w:val="00922C65"/>
    <w:rsid w:val="00927A6E"/>
    <w:rsid w:val="009304C8"/>
    <w:rsid w:val="009354C0"/>
    <w:rsid w:val="00936C48"/>
    <w:rsid w:val="00941AF6"/>
    <w:rsid w:val="00957908"/>
    <w:rsid w:val="00962D17"/>
    <w:rsid w:val="00963F39"/>
    <w:rsid w:val="00974421"/>
    <w:rsid w:val="009759A3"/>
    <w:rsid w:val="00976291"/>
    <w:rsid w:val="00990A7C"/>
    <w:rsid w:val="009A1E27"/>
    <w:rsid w:val="009A4E52"/>
    <w:rsid w:val="009A5AE5"/>
    <w:rsid w:val="009B4E75"/>
    <w:rsid w:val="009B57C1"/>
    <w:rsid w:val="009B59A2"/>
    <w:rsid w:val="009B6FA4"/>
    <w:rsid w:val="009C2826"/>
    <w:rsid w:val="009C7ABB"/>
    <w:rsid w:val="009D2363"/>
    <w:rsid w:val="009D30FD"/>
    <w:rsid w:val="009E0D9D"/>
    <w:rsid w:val="009F5AAB"/>
    <w:rsid w:val="009F7F9A"/>
    <w:rsid w:val="00A00C37"/>
    <w:rsid w:val="00A0735E"/>
    <w:rsid w:val="00A154F8"/>
    <w:rsid w:val="00A160E3"/>
    <w:rsid w:val="00A16F56"/>
    <w:rsid w:val="00A20598"/>
    <w:rsid w:val="00A22862"/>
    <w:rsid w:val="00A22BB7"/>
    <w:rsid w:val="00A24BAE"/>
    <w:rsid w:val="00A308FD"/>
    <w:rsid w:val="00A30ADE"/>
    <w:rsid w:val="00A31391"/>
    <w:rsid w:val="00A34056"/>
    <w:rsid w:val="00A37651"/>
    <w:rsid w:val="00A417F1"/>
    <w:rsid w:val="00A422FD"/>
    <w:rsid w:val="00A4253F"/>
    <w:rsid w:val="00A4344B"/>
    <w:rsid w:val="00A44EA0"/>
    <w:rsid w:val="00A45862"/>
    <w:rsid w:val="00A5663C"/>
    <w:rsid w:val="00A5799E"/>
    <w:rsid w:val="00A63E16"/>
    <w:rsid w:val="00A65D96"/>
    <w:rsid w:val="00A70A3D"/>
    <w:rsid w:val="00A80F24"/>
    <w:rsid w:val="00A812AC"/>
    <w:rsid w:val="00A842DF"/>
    <w:rsid w:val="00A90FDA"/>
    <w:rsid w:val="00A9231C"/>
    <w:rsid w:val="00A94CF2"/>
    <w:rsid w:val="00A95AE1"/>
    <w:rsid w:val="00A9715F"/>
    <w:rsid w:val="00AA1F98"/>
    <w:rsid w:val="00AA3183"/>
    <w:rsid w:val="00AA4F44"/>
    <w:rsid w:val="00AA5AA6"/>
    <w:rsid w:val="00AB0EED"/>
    <w:rsid w:val="00AD6324"/>
    <w:rsid w:val="00AE506D"/>
    <w:rsid w:val="00AF291F"/>
    <w:rsid w:val="00B12EDE"/>
    <w:rsid w:val="00B1779F"/>
    <w:rsid w:val="00B20BE0"/>
    <w:rsid w:val="00B222D5"/>
    <w:rsid w:val="00B247FB"/>
    <w:rsid w:val="00B31E5E"/>
    <w:rsid w:val="00B32E91"/>
    <w:rsid w:val="00B34CCF"/>
    <w:rsid w:val="00B46BF8"/>
    <w:rsid w:val="00B508D7"/>
    <w:rsid w:val="00B633E6"/>
    <w:rsid w:val="00B64D21"/>
    <w:rsid w:val="00B70D90"/>
    <w:rsid w:val="00B73BF8"/>
    <w:rsid w:val="00B833C6"/>
    <w:rsid w:val="00B87A9F"/>
    <w:rsid w:val="00B9020C"/>
    <w:rsid w:val="00B907CA"/>
    <w:rsid w:val="00B9505A"/>
    <w:rsid w:val="00BA7CF7"/>
    <w:rsid w:val="00BB19BC"/>
    <w:rsid w:val="00BB5A83"/>
    <w:rsid w:val="00BB5E86"/>
    <w:rsid w:val="00BB7FF7"/>
    <w:rsid w:val="00BC6B24"/>
    <w:rsid w:val="00BD013E"/>
    <w:rsid w:val="00BD2177"/>
    <w:rsid w:val="00BE524C"/>
    <w:rsid w:val="00BF20F1"/>
    <w:rsid w:val="00BF2E81"/>
    <w:rsid w:val="00C00411"/>
    <w:rsid w:val="00C11526"/>
    <w:rsid w:val="00C11F0A"/>
    <w:rsid w:val="00C12ADA"/>
    <w:rsid w:val="00C150FF"/>
    <w:rsid w:val="00C25300"/>
    <w:rsid w:val="00C30A46"/>
    <w:rsid w:val="00C33C2A"/>
    <w:rsid w:val="00C33EDB"/>
    <w:rsid w:val="00C33F4F"/>
    <w:rsid w:val="00C35938"/>
    <w:rsid w:val="00C35A3B"/>
    <w:rsid w:val="00C36CDE"/>
    <w:rsid w:val="00C41C09"/>
    <w:rsid w:val="00C42567"/>
    <w:rsid w:val="00C42B2F"/>
    <w:rsid w:val="00C453C5"/>
    <w:rsid w:val="00C544EF"/>
    <w:rsid w:val="00C65A9F"/>
    <w:rsid w:val="00C72CCF"/>
    <w:rsid w:val="00C73028"/>
    <w:rsid w:val="00C76B2D"/>
    <w:rsid w:val="00C837DF"/>
    <w:rsid w:val="00C85EE8"/>
    <w:rsid w:val="00C90D74"/>
    <w:rsid w:val="00C9422C"/>
    <w:rsid w:val="00CA30BA"/>
    <w:rsid w:val="00CA79D9"/>
    <w:rsid w:val="00CB1718"/>
    <w:rsid w:val="00CB2DE1"/>
    <w:rsid w:val="00CB7187"/>
    <w:rsid w:val="00CB7F1A"/>
    <w:rsid w:val="00CC0A0C"/>
    <w:rsid w:val="00CC4DC7"/>
    <w:rsid w:val="00CC6C1E"/>
    <w:rsid w:val="00CC7D6D"/>
    <w:rsid w:val="00CD3EE8"/>
    <w:rsid w:val="00CD72DF"/>
    <w:rsid w:val="00CE6451"/>
    <w:rsid w:val="00CE6FF9"/>
    <w:rsid w:val="00CF30D0"/>
    <w:rsid w:val="00CF4A76"/>
    <w:rsid w:val="00CF7529"/>
    <w:rsid w:val="00D0707A"/>
    <w:rsid w:val="00D07AFD"/>
    <w:rsid w:val="00D11479"/>
    <w:rsid w:val="00D12426"/>
    <w:rsid w:val="00D1269C"/>
    <w:rsid w:val="00D2060B"/>
    <w:rsid w:val="00D266F1"/>
    <w:rsid w:val="00D34E0A"/>
    <w:rsid w:val="00D36A5A"/>
    <w:rsid w:val="00D40737"/>
    <w:rsid w:val="00D57C85"/>
    <w:rsid w:val="00D61B6B"/>
    <w:rsid w:val="00D654C8"/>
    <w:rsid w:val="00D77246"/>
    <w:rsid w:val="00D84FA7"/>
    <w:rsid w:val="00D86B17"/>
    <w:rsid w:val="00D86C25"/>
    <w:rsid w:val="00D8742D"/>
    <w:rsid w:val="00D91B80"/>
    <w:rsid w:val="00D9352E"/>
    <w:rsid w:val="00D97915"/>
    <w:rsid w:val="00DA43D1"/>
    <w:rsid w:val="00DA49B8"/>
    <w:rsid w:val="00DA4DAC"/>
    <w:rsid w:val="00DB1320"/>
    <w:rsid w:val="00DB4412"/>
    <w:rsid w:val="00DC62FA"/>
    <w:rsid w:val="00DD2461"/>
    <w:rsid w:val="00DE2231"/>
    <w:rsid w:val="00E037F6"/>
    <w:rsid w:val="00E1462B"/>
    <w:rsid w:val="00E24776"/>
    <w:rsid w:val="00E46DB3"/>
    <w:rsid w:val="00E47CE0"/>
    <w:rsid w:val="00E51D61"/>
    <w:rsid w:val="00E55C8A"/>
    <w:rsid w:val="00E64E8F"/>
    <w:rsid w:val="00E73F23"/>
    <w:rsid w:val="00E74997"/>
    <w:rsid w:val="00E839A2"/>
    <w:rsid w:val="00E90E0C"/>
    <w:rsid w:val="00E954AB"/>
    <w:rsid w:val="00EA1F76"/>
    <w:rsid w:val="00EA37F5"/>
    <w:rsid w:val="00EB101E"/>
    <w:rsid w:val="00EB1089"/>
    <w:rsid w:val="00EB26AC"/>
    <w:rsid w:val="00EB6E70"/>
    <w:rsid w:val="00EB7F95"/>
    <w:rsid w:val="00EC0F4A"/>
    <w:rsid w:val="00EC4B2D"/>
    <w:rsid w:val="00EE1447"/>
    <w:rsid w:val="00EE1BE8"/>
    <w:rsid w:val="00EE6232"/>
    <w:rsid w:val="00EF649B"/>
    <w:rsid w:val="00EF6E1D"/>
    <w:rsid w:val="00F02383"/>
    <w:rsid w:val="00F05AAA"/>
    <w:rsid w:val="00F1478F"/>
    <w:rsid w:val="00F1662C"/>
    <w:rsid w:val="00F16BF5"/>
    <w:rsid w:val="00F210FD"/>
    <w:rsid w:val="00F215C6"/>
    <w:rsid w:val="00F229E6"/>
    <w:rsid w:val="00F23555"/>
    <w:rsid w:val="00F32DA9"/>
    <w:rsid w:val="00F34C1B"/>
    <w:rsid w:val="00F35B29"/>
    <w:rsid w:val="00F37153"/>
    <w:rsid w:val="00F47720"/>
    <w:rsid w:val="00F47DF3"/>
    <w:rsid w:val="00F569AC"/>
    <w:rsid w:val="00F61D08"/>
    <w:rsid w:val="00F67003"/>
    <w:rsid w:val="00F7565E"/>
    <w:rsid w:val="00F75CD2"/>
    <w:rsid w:val="00F85A2A"/>
    <w:rsid w:val="00F91293"/>
    <w:rsid w:val="00F94100"/>
    <w:rsid w:val="00FA2668"/>
    <w:rsid w:val="00FB3A72"/>
    <w:rsid w:val="00FC10C6"/>
    <w:rsid w:val="00FC21B3"/>
    <w:rsid w:val="00FC24AF"/>
    <w:rsid w:val="00FC2D63"/>
    <w:rsid w:val="00FD2824"/>
    <w:rsid w:val="00FD5D8A"/>
    <w:rsid w:val="00FE1841"/>
    <w:rsid w:val="00FE18BC"/>
    <w:rsid w:val="00FE1BFE"/>
    <w:rsid w:val="00FE537B"/>
    <w:rsid w:val="00FF0B65"/>
    <w:rsid w:val="00FF6136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9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48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89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1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6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72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0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67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4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1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0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08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5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13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2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8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6AF2-69F8-4FB9-ADC7-6B3180ED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2E7B65BC</Template>
  <TotalTime>54</TotalTime>
  <Pages>7</Pages>
  <Words>2134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GD1/GD2 - Milepæle til brug for replanlægning 3. kvartal 2014</vt:lpstr>
    </vt:vector>
  </TitlesOfParts>
  <Company>Statens IT</Company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GD1/GD2 - Milepæle til brug for replanlægning 3. kvartal 2014</dc:title>
  <dc:subject>Grunddataprogrammet under den Fællesoffentlig digitaliseringsstrategi 2012 - 2015</dc:subject>
  <dc:creator>S&amp;D</dc:creator>
  <cp:lastModifiedBy>Asbjørn Lenbroch</cp:lastModifiedBy>
  <cp:revision>5</cp:revision>
  <cp:lastPrinted>2014-08-31T15:31:00Z</cp:lastPrinted>
  <dcterms:created xsi:type="dcterms:W3CDTF">2014-09-17T10:05:00Z</dcterms:created>
  <dcterms:modified xsi:type="dcterms:W3CDTF">2014-09-18T20:11:00Z</dcterms:modified>
</cp:coreProperties>
</file>