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fldSimple w:instr=" SUBJECT   \* MERGEFORMAT ">
        <w:r>
          <w:rPr>
            <w:kern w:val="28"/>
            <w:sz w:val="32"/>
            <w:szCs w:val="32"/>
          </w:rPr>
          <w:t>Effektivt genbrug af grunddata om adresser, adm</w:t>
        </w:r>
        <w:r>
          <w:rPr>
            <w:kern w:val="28"/>
            <w:sz w:val="32"/>
            <w:szCs w:val="32"/>
          </w:rPr>
          <w:t>i</w:t>
        </w:r>
        <w:r>
          <w:rPr>
            <w:kern w:val="28"/>
            <w:sz w:val="32"/>
            <w:szCs w:val="32"/>
          </w:rPr>
          <w:t>nistrative inddelinger og stednavne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443508" w:rsidRDefault="00C943F0" w:rsidP="002771E7">
      <w:pPr>
        <w:pStyle w:val="Brdtekst"/>
      </w:pPr>
      <w:r w:rsidRPr="00443508">
        <w:rPr>
          <w:kern w:val="28"/>
          <w:sz w:val="48"/>
          <w:szCs w:val="48"/>
          <w:lang w:eastAsia="da-DK"/>
        </w:rPr>
        <w:t>Lovgivning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827BF3">
        <w:t>0.2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827BF3">
        <w:t>24</w:t>
      </w:r>
      <w:r w:rsidR="00D42F01">
        <w:t xml:space="preserve">. </w:t>
      </w:r>
      <w:r w:rsidR="00827BF3">
        <w:t>februar</w:t>
      </w:r>
      <w:r w:rsidR="00D42F01">
        <w:t xml:space="preserve"> 201</w:t>
      </w:r>
      <w:r w:rsidR="00827BF3">
        <w:t>5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27BF3" w:rsidP="00827BF3">
            <w:pPr>
              <w:pStyle w:val="BrdtekstTabel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42F01" w:rsidP="00D51085">
            <w:pPr>
              <w:pStyle w:val="BrdtekstTabel"/>
            </w:pPr>
            <w:r>
              <w:t>03</w:t>
            </w:r>
            <w:r w:rsidR="00827BF3">
              <w:t>-</w:t>
            </w:r>
            <w:r>
              <w:t>10</w:t>
            </w:r>
            <w:r w:rsidR="00827BF3">
              <w:t>-</w:t>
            </w:r>
            <w:r>
              <w:t>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443508" w:rsidP="00D51085">
            <w:pPr>
              <w:pStyle w:val="BrdtekstTabel"/>
            </w:pPr>
            <w:r>
              <w:t>Dokument oprettet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42F01" w:rsidP="00D51085">
            <w:pPr>
              <w:pStyle w:val="BrdtekstTabel"/>
            </w:pPr>
            <w:r>
              <w:t>GBR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827BF3" w:rsidP="00D51085">
            <w:pPr>
              <w:pStyle w:val="BrdtekstTabel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27BF3" w:rsidP="00D51085">
            <w:pPr>
              <w:pStyle w:val="BrdtekstTabel"/>
            </w:pPr>
            <w:r>
              <w:t>24-02-2015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827BF3" w:rsidP="00D51085">
            <w:pPr>
              <w:pStyle w:val="BrdtekstTabel"/>
            </w:pPr>
            <w:r>
              <w:t>Opdateret arbejdspakkebeskrivelser ved kvalitetssi</w:t>
            </w:r>
            <w:r>
              <w:t>k</w:t>
            </w:r>
            <w:r>
              <w:t>ringsmøde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27BF3" w:rsidP="00D51085">
            <w:pPr>
              <w:pStyle w:val="BrdtekstTabel"/>
            </w:pPr>
            <w:r>
              <w:t>THJ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C50FC9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398105364" w:history="1">
        <w:r w:rsidR="00C50FC9" w:rsidRPr="00CD1243">
          <w:rPr>
            <w:rStyle w:val="Hyperlink"/>
            <w:noProof/>
          </w:rPr>
          <w:t>1.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Indledning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5" w:history="1">
        <w:r w:rsidR="00C50FC9" w:rsidRPr="00CD1243">
          <w:rPr>
            <w:rStyle w:val="Hyperlink"/>
            <w:noProof/>
          </w:rPr>
          <w:t>1.1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Produktbaseret planlægning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6" w:history="1">
        <w:r w:rsidR="00C50FC9" w:rsidRPr="00CD1243">
          <w:rPr>
            <w:rStyle w:val="Hyperlink"/>
            <w:noProof/>
          </w:rPr>
          <w:t>1.2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Metode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_Toc398105366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7" w:history="1">
        <w:r w:rsidR="00C50FC9" w:rsidRPr="00CD1243">
          <w:rPr>
            <w:rStyle w:val="Hyperlink"/>
            <w:noProof/>
          </w:rPr>
          <w:t>1.2.1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_Toc398105367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8" w:history="1">
        <w:r w:rsidR="00C50FC9" w:rsidRPr="00CD1243">
          <w:rPr>
            <w:rStyle w:val="Hyperlink"/>
            <w:noProof/>
          </w:rPr>
          <w:t>1.2.2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_Toc398105368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5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69" w:history="1">
        <w:r w:rsidR="00C50FC9" w:rsidRPr="00CD1243">
          <w:rPr>
            <w:rStyle w:val="Hyperlink"/>
            <w:noProof/>
          </w:rPr>
          <w:t>2.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Produktoverblik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_Toc398105369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0" w:history="1">
        <w:r w:rsidR="00C50FC9" w:rsidRPr="00CD1243">
          <w:rPr>
            <w:rStyle w:val="Hyperlink"/>
            <w:noProof/>
          </w:rPr>
          <w:t>2.1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_Toc398105370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1" w:history="1">
        <w:r w:rsidR="00C50FC9" w:rsidRPr="00CD1243">
          <w:rPr>
            <w:rStyle w:val="Hyperlink"/>
            <w:noProof/>
          </w:rPr>
          <w:t>2.2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_Toc398105371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72" w:history="1">
        <w:r w:rsidR="00C50FC9" w:rsidRPr="00CD1243">
          <w:rPr>
            <w:rStyle w:val="Hyperlink"/>
            <w:noProof/>
          </w:rPr>
          <w:t>3.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 xml:space="preserve">Arbejdspakker fra </w:t>
        </w:r>
        <w:r w:rsidR="00D42F01">
          <w:rPr>
            <w:rStyle w:val="Hyperlink"/>
            <w:noProof/>
          </w:rPr>
          <w:t>Adresseregler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_Toc398105372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3" w:history="1">
        <w:r w:rsidR="00C50FC9" w:rsidRPr="00CD1243">
          <w:rPr>
            <w:rStyle w:val="Hyperlink"/>
            <w:noProof/>
          </w:rPr>
          <w:t>3.1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_Toc398105373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4" w:history="1">
        <w:r w:rsidR="00C50FC9" w:rsidRPr="00CD1243">
          <w:rPr>
            <w:rStyle w:val="Hyperlink"/>
            <w:noProof/>
          </w:rPr>
          <w:t>3.1.1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D42F01" w:rsidRPr="008C15BB">
          <w:rPr>
            <w:bCs/>
          </w:rPr>
          <w:t>Forslag til Lov om ændring af BBR-loven, Udstykningsloven, Ejerlejlighedsloven, Tinglysningsloven og forskellige andre love</w:t>
        </w:r>
        <w:r w:rsidR="00D42F01" w:rsidRPr="00CD1243">
          <w:rPr>
            <w:rStyle w:val="Hyperlink"/>
            <w:noProof/>
          </w:rPr>
          <w:t xml:space="preserve"> 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9D5E4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5" w:history="1">
        <w:r w:rsidR="00C50FC9" w:rsidRPr="00CD1243">
          <w:rPr>
            <w:rStyle w:val="Hyperlink"/>
            <w:noProof/>
          </w:rPr>
          <w:t>3.1.2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DA2473">
          <w:t>Revision af bekendtgørelser</w:t>
        </w:r>
        <w:r w:rsidR="00DA2473" w:rsidRPr="00CD1243">
          <w:rPr>
            <w:rStyle w:val="Hyperlink"/>
            <w:noProof/>
          </w:rPr>
          <w:t xml:space="preserve"> 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398105364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398105365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>lede plan i MS project</w:t>
      </w:r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>fhængigheder mellem de enkelte produkter illustreres i produktflow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398105366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398105367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47328B59" wp14:editId="7918BD8E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>af den aftalepartner, som er i scope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2CE3D3" wp14:editId="662CFD93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scope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6708EE21" wp14:editId="5CA4603F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398105368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på</w:t>
            </w:r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  <w:r w:rsidR="00D42F01">
              <w:rPr>
                <w:sz w:val="20"/>
                <w:szCs w:val="20"/>
              </w:rPr>
              <w:t xml:space="preserve"> 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398105369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398105370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r>
        <w:t>xxxxxxxxxxxxxx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r>
        <w:t>xxxxxxxxxxxxxx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r>
        <w:t>xxxxxxxxxxxxxx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r>
        <w:t>xxxxxxxxxxxxxx</w:t>
      </w:r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290D3F2F" wp14:editId="7C3DAFEF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398105371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E63205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398105372"/>
      <w:r>
        <w:lastRenderedPageBreak/>
        <w:t xml:space="preserve">Arbejdspakker fra </w:t>
      </w:r>
      <w:bookmarkEnd w:id="27"/>
      <w:bookmarkEnd w:id="28"/>
      <w:r w:rsidR="00C943F0">
        <w:t>projekt Lovgivning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398105373"/>
      <w:r>
        <w:rPr>
          <w:lang w:val="da-DK"/>
        </w:rPr>
        <w:t>Arbejdspakkebeskrivelser</w:t>
      </w:r>
      <w:bookmarkEnd w:id="29"/>
      <w:bookmarkEnd w:id="30"/>
    </w:p>
    <w:p w:rsidR="00F32923" w:rsidRDefault="00DA2473" w:rsidP="00DA2473">
      <w:pPr>
        <w:pStyle w:val="Overskrift3"/>
        <w:numPr>
          <w:ilvl w:val="2"/>
          <w:numId w:val="2"/>
        </w:numPr>
      </w:pPr>
      <w:bookmarkStart w:id="31" w:name="_Toc398105374"/>
      <w:r w:rsidRPr="00DA2473">
        <w:rPr>
          <w:sz w:val="20"/>
          <w:szCs w:val="20"/>
        </w:rPr>
        <w:t>Forslag til Lov om ændring af BBR-loven, Udstykningsloven, Ejerlejlighedsloven, Tingly</w:t>
      </w:r>
      <w:r w:rsidRPr="00DA2473">
        <w:rPr>
          <w:sz w:val="20"/>
          <w:szCs w:val="20"/>
        </w:rPr>
        <w:t>s</w:t>
      </w:r>
      <w:r w:rsidRPr="00DA2473">
        <w:rPr>
          <w:sz w:val="20"/>
          <w:szCs w:val="20"/>
        </w:rPr>
        <w:t xml:space="preserve">ningsloven og forskellige andre love 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DA2473" w:rsidRDefault="00DA247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A2473">
              <w:rPr>
                <w:sz w:val="20"/>
                <w:szCs w:val="20"/>
              </w:rPr>
              <w:t>Forslag til Lov om ændring af BBR-loven, Udstykningsloven, Ejerlejlighed</w:t>
            </w:r>
            <w:r w:rsidRPr="00DA2473">
              <w:rPr>
                <w:sz w:val="20"/>
                <w:szCs w:val="20"/>
              </w:rPr>
              <w:t>s</w:t>
            </w:r>
            <w:r w:rsidRPr="00DA2473">
              <w:rPr>
                <w:sz w:val="20"/>
                <w:szCs w:val="20"/>
              </w:rPr>
              <w:t>loven, Tinglysningsloven og forskellige andre love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A2473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A2473" w:rsidRDefault="00DA2473" w:rsidP="007D28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Ansvarlig for arbejdspakken: </w:t>
            </w:r>
            <w:r w:rsidR="00C943F0" w:rsidRPr="00443508">
              <w:rPr>
                <w:sz w:val="20"/>
                <w:szCs w:val="20"/>
              </w:rPr>
              <w:t>Morten Lind</w:t>
            </w:r>
          </w:p>
          <w:p w:rsidR="00DA2473" w:rsidRPr="00212AC6" w:rsidRDefault="00DA2473" w:rsidP="00A8661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Ansvarlig for kvalitetskontrol: </w:t>
            </w:r>
            <w:r w:rsidR="00A86618">
              <w:rPr>
                <w:sz w:val="20"/>
                <w:szCs w:val="20"/>
              </w:rPr>
              <w:t>Programledere i GD1 og GD2</w:t>
            </w:r>
          </w:p>
        </w:tc>
      </w:tr>
      <w:tr w:rsidR="00DA2473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A2473" w:rsidRPr="005724B5" w:rsidRDefault="00A86618" w:rsidP="00A8661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måneder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A2473" w:rsidRDefault="00AF23BA" w:rsidP="00AF23B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Udfærdigelse af lovforslag. Gennemførelse af lovgivningsprocessen.</w:t>
            </w:r>
          </w:p>
          <w:p w:rsidR="00A86618" w:rsidRDefault="00A86618" w:rsidP="00AF23B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86618" w:rsidRPr="00443508" w:rsidRDefault="00A86618" w:rsidP="00443508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Det er bl.a. projektets opgave at identificere og håndtere tværg</w:t>
            </w:r>
            <w:r>
              <w:rPr>
                <w:rFonts w:ascii="Garamond" w:hAnsi="Garamond" w:cs="Garamond"/>
                <w:sz w:val="24"/>
                <w:szCs w:val="24"/>
              </w:rPr>
              <w:t>å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ende lovgivnings- og regelafhængigheder. Det skal således sikres, at de forskellige love anvender samme begreber, og at der er sammenhæng i lovgivningen. </w:t>
            </w:r>
          </w:p>
        </w:tc>
      </w:tr>
      <w:tr w:rsidR="00DA2473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A2473" w:rsidRDefault="00816C30" w:rsidP="0081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Produktet er en lov.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tbl>
            <w:tblPr>
              <w:tblStyle w:val="Tabel-Gitter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02"/>
              <w:gridCol w:w="2601"/>
            </w:tblGrid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B34CCF" w:rsidRDefault="001D1387" w:rsidP="007D2836">
                  <w:pPr>
                    <w:rPr>
                      <w:color w:val="000000"/>
                    </w:rPr>
                  </w:pPr>
                  <w:r w:rsidRPr="00825C5B">
                    <w:rPr>
                      <w:b/>
                    </w:rPr>
                    <w:t>Bidrag til Lovprogram afgivet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april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B34CCF" w:rsidRDefault="001D1387" w:rsidP="007D2836">
                  <w:pPr>
                    <w:rPr>
                      <w:color w:val="000000"/>
                    </w:rPr>
                  </w:pPr>
                  <w:r w:rsidRPr="00825C5B">
                    <w:t>Udarbejdelse af lovforslag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april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Default="001D1387" w:rsidP="007D2836">
                  <w:pPr>
                    <w:spacing w:before="40" w:after="40"/>
                  </w:pPr>
                  <w:r w:rsidRPr="00825C5B">
                    <w:t>Høring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ultimo maj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2A641A" w:rsidRDefault="001D1387" w:rsidP="007D2836">
                  <w:pPr>
                    <w:rPr>
                      <w:color w:val="000000"/>
                    </w:rPr>
                  </w:pPr>
                  <w:r w:rsidRPr="00825C5B">
                    <w:t>Lovteknisk gennemgang</w:t>
                  </w:r>
                  <w:r>
                    <w:t xml:space="preserve">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juni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Default="001D1387" w:rsidP="007D2836">
                  <w:pPr>
                    <w:spacing w:before="40" w:after="40"/>
                  </w:pPr>
                  <w:r w:rsidRPr="00825C5B">
                    <w:t>Tværgående kvalitetssikring</w:t>
                  </w:r>
                  <w:r>
                    <w:t xml:space="preserve">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juni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F2AE4" w:rsidRDefault="001D1387" w:rsidP="007D2836">
                  <w:pPr>
                    <w:spacing w:before="40" w:after="40"/>
                    <w:rPr>
                      <w:b/>
                    </w:rPr>
                  </w:pPr>
                  <w:r w:rsidRPr="008F2AE4">
                    <w:rPr>
                      <w:b/>
                    </w:rPr>
                    <w:t>Lovforslag fremsat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Primo oktober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</w:pPr>
                  <w:r w:rsidRPr="00825C5B">
                    <w:rPr>
                      <w:b/>
                    </w:rPr>
                    <w:t xml:space="preserve">Lovforslag vedtaget </w:t>
                  </w:r>
                  <w:r w:rsidRPr="00830F3F">
                    <w:t>(Folketingsb</w:t>
                  </w:r>
                  <w:r w:rsidRPr="00830F3F">
                    <w:t>e</w:t>
                  </w:r>
                  <w:r w:rsidRPr="00830F3F">
                    <w:t>handling afsluttet)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ultimo december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  <w:rPr>
                      <w:b/>
                    </w:rPr>
                  </w:pPr>
                  <w:r w:rsidRPr="00825C5B">
                    <w:t>Kundgørelse</w:t>
                  </w:r>
                  <w:r>
                    <w:t xml:space="preserve"> 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december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</w:pPr>
                  <w:r w:rsidRPr="00825C5B">
                    <w:t>Ikrafttrædelse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120"/>
                    <w:jc w:val="center"/>
                  </w:pPr>
                  <w:r w:rsidRPr="00825C5B">
                    <w:t>Afhængig af registrenes implementering</w:t>
                  </w:r>
                </w:p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(efter lov vedtaget</w:t>
                  </w:r>
                  <w:r>
                    <w:t>,</w:t>
                  </w:r>
                  <w:r w:rsidRPr="00825C5B">
                    <w:t xml:space="preserve"> men før register er </w:t>
                  </w:r>
                  <w:r>
                    <w:t>sat</w:t>
                  </w:r>
                  <w:r w:rsidRPr="00825C5B">
                    <w:t xml:space="preserve"> i produktion)</w:t>
                  </w:r>
                </w:p>
              </w:tc>
            </w:tr>
          </w:tbl>
          <w:p w:rsidR="00DA2473" w:rsidRPr="005724B5" w:rsidRDefault="00DA2473" w:rsidP="007D2836">
            <w:pPr>
              <w:rPr>
                <w:sz w:val="20"/>
                <w:szCs w:val="20"/>
              </w:rPr>
            </w:pP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C943F0" w:rsidRDefault="00C943F0" w:rsidP="001D1387">
            <w:pPr>
              <w:rPr>
                <w:rFonts w:ascii="Garamond" w:hAnsi="Garamond" w:cs="Garamond"/>
                <w:sz w:val="24"/>
                <w:szCs w:val="24"/>
              </w:rPr>
            </w:pPr>
          </w:p>
          <w:p w:rsidR="00C943F0" w:rsidRPr="005724B5" w:rsidRDefault="00C943F0" w:rsidP="00C943F0">
            <w:pPr>
              <w:rPr>
                <w:sz w:val="20"/>
                <w:szCs w:val="20"/>
              </w:rPr>
            </w:pP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A2473" w:rsidRPr="005724B5" w:rsidRDefault="001D1387" w:rsidP="006A221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Projektdeltagelse og bidrag til samlelovforslag fra de </w:t>
            </w:r>
            <w:r w:rsidR="006A221C">
              <w:rPr>
                <w:sz w:val="20"/>
                <w:szCs w:val="20"/>
              </w:rPr>
              <w:t>ministerområder inden for hvilke, der skal lovgives.</w:t>
            </w:r>
            <w:r w:rsidR="00DA2473" w:rsidRPr="005724B5">
              <w:rPr>
                <w:sz w:val="20"/>
                <w:szCs w:val="20"/>
              </w:rPr>
              <w:t xml:space="preserve"> 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643A54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16C30" w:rsidRPr="00EC4A10" w:rsidRDefault="00816C30" w:rsidP="00816C30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rFonts w:ascii="Times New Roman" w:hAnsi="Times New Roman" w:cs="Times New Roman"/>
              </w:rPr>
            </w:pPr>
            <w:r w:rsidRPr="00EC4A10">
              <w:rPr>
                <w:rFonts w:ascii="Times New Roman" w:hAnsi="Times New Roman" w:cs="Times New Roman"/>
              </w:rPr>
              <w:t>kvalitet, der sikrer, at der er lovgivet på alle nødvendige områder</w:t>
            </w:r>
            <w:r w:rsidR="00A86618">
              <w:rPr>
                <w:rFonts w:ascii="Times New Roman" w:hAnsi="Times New Roman" w:cs="Times New Roman"/>
              </w:rPr>
              <w:t xml:space="preserve"> jf. løsningsarkitekturer og delaftalerne for GD1 og GD2 </w:t>
            </w:r>
          </w:p>
          <w:p w:rsidR="00A86618" w:rsidRPr="001C3A74" w:rsidRDefault="00A86618" w:rsidP="00A86618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A2473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643A54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A2473" w:rsidRPr="001C3A74" w:rsidRDefault="00A86618" w:rsidP="00A8661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Godkendelse i de respektive myndigheder </w:t>
            </w:r>
          </w:p>
        </w:tc>
      </w:tr>
    </w:tbl>
    <w:p w:rsidR="00F32923" w:rsidRDefault="00F32923" w:rsidP="007C05F7"/>
    <w:p w:rsidR="00F32923" w:rsidRDefault="00DA247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2" w:name="_Toc398105375"/>
      <w:r>
        <w:t>Revision af bekendtgørelser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816C30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af bekendtgørelser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Projektleder</w:t>
            </w:r>
            <w:r w:rsidR="00A86618">
              <w:rPr>
                <w:sz w:val="20"/>
                <w:szCs w:val="20"/>
              </w:rPr>
              <w:t>: Morten Lind</w:t>
            </w:r>
          </w:p>
          <w:p w:rsidR="00A86618" w:rsidRPr="00816C30" w:rsidRDefault="00A86618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Kvalitetskontrol: </w:t>
            </w:r>
            <w:r w:rsidR="00827BF3">
              <w:rPr>
                <w:sz w:val="20"/>
                <w:szCs w:val="20"/>
              </w:rPr>
              <w:t>Programledere i GD1 og GD2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A86618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 af registrenes implementering.</w:t>
            </w:r>
            <w:r w:rsidR="00A86618">
              <w:rPr>
                <w:sz w:val="20"/>
                <w:szCs w:val="20"/>
              </w:rPr>
              <w:t xml:space="preserve"> 1. april </w:t>
            </w:r>
            <w:r w:rsidR="00827BF3">
              <w:rPr>
                <w:sz w:val="20"/>
                <w:szCs w:val="20"/>
              </w:rPr>
              <w:t>2015 –</w:t>
            </w:r>
            <w:r w:rsidR="00A86618">
              <w:rPr>
                <w:sz w:val="20"/>
                <w:szCs w:val="20"/>
              </w:rPr>
              <w:t xml:space="preserve"> </w:t>
            </w:r>
            <w:r w:rsidR="00827BF3">
              <w:rPr>
                <w:sz w:val="20"/>
                <w:szCs w:val="20"/>
              </w:rPr>
              <w:t>1. maj 2016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86618" w:rsidRDefault="00A86618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Kortlægge hvilke bekendtgørelser, der skal ændres</w:t>
            </w:r>
          </w:p>
          <w:p w:rsidR="00A86618" w:rsidRPr="005724B5" w:rsidRDefault="00AF23BA" w:rsidP="00A8661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Udfærdigelse af bekendtgørelser.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Produktet er bekendtgørelser</w:t>
            </w:r>
          </w:p>
        </w:tc>
      </w:tr>
      <w:tr w:rsidR="00C75296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827BF3" w:rsidRPr="00443508" w:rsidRDefault="00827BF3" w:rsidP="00443508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udarbejdelse for reviderede bekendtgørelser 15. maj 2015</w:t>
            </w:r>
          </w:p>
          <w:p w:rsidR="00C75296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AF23BA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F23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 af samlelovens indhold.</w:t>
            </w:r>
            <w:r w:rsidR="00827BF3">
              <w:rPr>
                <w:sz w:val="20"/>
                <w:szCs w:val="20"/>
              </w:rPr>
              <w:t xml:space="preserve"> Fastlægges ved 1. milepæl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Projektdeltagelse og udfærdigelse af bekendtgørelse fra de respektive myndigheder.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443508" w:rsidRDefault="00AF23BA" w:rsidP="00443508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sz w:val="20"/>
                <w:szCs w:val="20"/>
              </w:rPr>
            </w:pPr>
            <w:r w:rsidRPr="00EC4A10">
              <w:rPr>
                <w:rFonts w:ascii="Times New Roman" w:hAnsi="Times New Roman" w:cs="Times New Roman"/>
              </w:rPr>
              <w:t xml:space="preserve">kvalitet, der sikrer, at alle nødvendige </w:t>
            </w:r>
            <w:r>
              <w:rPr>
                <w:rFonts w:ascii="Times New Roman" w:hAnsi="Times New Roman" w:cs="Times New Roman"/>
              </w:rPr>
              <w:t>regler er etableret</w:t>
            </w:r>
            <w:r w:rsidR="00827BF3">
              <w:rPr>
                <w:rFonts w:ascii="Times New Roman" w:hAnsi="Times New Roman" w:cs="Times New Roman"/>
              </w:rPr>
              <w:t xml:space="preserve"> jf. løsningsarkitekturer og delaftaler i GD1 og GD2</w:t>
            </w:r>
          </w:p>
        </w:tc>
      </w:tr>
      <w:tr w:rsidR="006359EF" w:rsidRPr="005D7B4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827BF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Godkendelse i de respektive myndigheder</w:t>
            </w:r>
          </w:p>
        </w:tc>
      </w:tr>
    </w:tbl>
    <w:p w:rsidR="00F32923" w:rsidRPr="006E6734" w:rsidRDefault="00F32923" w:rsidP="00B35E0A"/>
    <w:sectPr w:rsidR="00F32923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49" w:rsidRDefault="009D5E49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9D5E49" w:rsidRDefault="009D5E49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F05804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F05804">
            <w:rPr>
              <w:rStyle w:val="Sidetal"/>
              <w:noProof/>
              <w:sz w:val="22"/>
              <w:szCs w:val="22"/>
            </w:rPr>
            <w:t>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49" w:rsidRDefault="009D5E49" w:rsidP="00B63AB2">
      <w:r>
        <w:separator/>
      </w:r>
    </w:p>
  </w:footnote>
  <w:footnote w:type="continuationSeparator" w:id="0">
    <w:p w:rsidR="009D5E49" w:rsidRDefault="009D5E49" w:rsidP="00B63AB2">
      <w:r>
        <w:continuationSeparator/>
      </w:r>
    </w:p>
  </w:footnote>
  <w:footnote w:type="continuationNotice" w:id="1">
    <w:p w:rsidR="009D5E49" w:rsidRDefault="009D5E49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9D5E49" w:rsidP="00B63AB2">
    <w:pPr>
      <w:pStyle w:val="Sidehoved"/>
    </w:pPr>
    <w:r>
      <w:fldChar w:fldCharType="begin"/>
    </w:r>
    <w:r>
      <w:instrText xml:space="preserve"> TITLE  "GD2 - Arbejdspakkebeskrivelser"  \* MERGEFORMAT </w:instrText>
    </w:r>
    <w:r>
      <w:fldChar w:fldCharType="separate"/>
    </w:r>
    <w:r w:rsidR="00E63205">
      <w:t>GD2 - Arbejdspakkebeskrivelser</w:t>
    </w:r>
    <w:r>
      <w:fldChar w:fldCharType="end"/>
    </w:r>
  </w:p>
  <w:p w:rsidR="00B1475E" w:rsidRPr="006171CF" w:rsidRDefault="009D5E49" w:rsidP="00B63AB2">
    <w:pPr>
      <w:pStyle w:val="Sidehoved"/>
    </w:pPr>
    <w:r>
      <w:fldChar w:fldCharType="begin"/>
    </w:r>
    <w:r>
      <w:instrText xml:space="preserve"> SUBJECT  "Grunddataprogrammet under den Fællesoffentlig digitaliseringsstrategi 2012 - 2015"  \* MERGEFORMAT </w:instrText>
    </w:r>
    <w:r>
      <w:fldChar w:fldCharType="separate"/>
    </w:r>
    <w:r w:rsidR="00E63205">
      <w:t>Grunddataprogrammet under den Fællesoffentlig digitaliseringsstrategi 2012 - 2015</w:t>
    </w:r>
    <w:r>
      <w:fldChar w:fldCharType="end"/>
    </w:r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8867B1" w:rsidP="00B63AB2">
    <w:pPr>
      <w:pStyle w:val="Sidehoved"/>
    </w:pP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          </w:t>
    </w:r>
    <w:r w:rsidR="008D1DA3">
      <w:rPr>
        <w:noProof/>
      </w:rPr>
      <w:drawing>
        <wp:inline distT="0" distB="0" distL="0" distR="0" wp14:anchorId="4C7FF5D6" wp14:editId="6406E191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7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C3C1D"/>
    <w:multiLevelType w:val="hybridMultilevel"/>
    <w:tmpl w:val="D688A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118B"/>
    <w:multiLevelType w:val="hybridMultilevel"/>
    <w:tmpl w:val="573E486A"/>
    <w:lvl w:ilvl="0" w:tplc="9252CE6E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19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5"/>
  </w:num>
  <w:num w:numId="8">
    <w:abstractNumId w:val="13"/>
  </w:num>
  <w:num w:numId="9">
    <w:abstractNumId w:val="11"/>
  </w:num>
  <w:num w:numId="10">
    <w:abstractNumId w:val="21"/>
  </w:num>
  <w:num w:numId="11">
    <w:abstractNumId w:val="20"/>
  </w:num>
  <w:num w:numId="12">
    <w:abstractNumId w:val="10"/>
  </w:num>
  <w:num w:numId="13">
    <w:abstractNumId w:val="5"/>
  </w:num>
  <w:num w:numId="14">
    <w:abstractNumId w:val="7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  <w:num w:numId="22">
    <w:abstractNumId w:val="19"/>
  </w:num>
  <w:num w:numId="23">
    <w:abstractNumId w:val="17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387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3C46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299C"/>
    <w:rsid w:val="004349F6"/>
    <w:rsid w:val="0043518E"/>
    <w:rsid w:val="00435AED"/>
    <w:rsid w:val="0043770B"/>
    <w:rsid w:val="00442606"/>
    <w:rsid w:val="00442882"/>
    <w:rsid w:val="00443508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0BC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21C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6C30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27BF3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0F15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5E49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6618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3BA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3F0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2F01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473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3AE2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097"/>
    <w:rsid w:val="00F05804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5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5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573F-AD61-4D70-A93E-C994D597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2014-09-09T13:25:00Z</cp:lastPrinted>
  <dcterms:created xsi:type="dcterms:W3CDTF">2017-12-04T16:01:00Z</dcterms:created>
  <dcterms:modified xsi:type="dcterms:W3CDTF">2017-12-04T16:01:00Z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