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7F4F8A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:rsidR="0063718D" w:rsidRPr="00AC5579" w:rsidRDefault="006B2EA5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"Løsningsarkitektur - Bilag A Servicebeskrivelser"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Løsningsarkitektur - Bilag A Servicebeskrivelser</w:t>
      </w:r>
      <w:r>
        <w:rPr>
          <w:sz w:val="40"/>
          <w:szCs w:val="40"/>
        </w:rPr>
        <w:fldChar w:fldCharType="end"/>
      </w:r>
      <w:r w:rsidR="00993911">
        <w:rPr>
          <w:sz w:val="40"/>
          <w:szCs w:val="40"/>
        </w:rPr>
        <w:t xml:space="preserve"> og integrationer</w:t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2144DF" w:rsidRDefault="002144DF" w:rsidP="00F87B4D">
      <w:pPr>
        <w:pStyle w:val="Brdtekst"/>
      </w:pPr>
    </w:p>
    <w:p w:rsidR="003105E2" w:rsidRDefault="003105E2" w:rsidP="00F87B4D">
      <w:pPr>
        <w:pStyle w:val="Brdtekst"/>
      </w:pPr>
    </w:p>
    <w:p w:rsidR="003105E2" w:rsidRPr="00AC5579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proofErr w:type="gramStart"/>
      <w:r w:rsidR="003105E2">
        <w:t>0.1</w:t>
      </w:r>
      <w:proofErr w:type="gramEnd"/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3105E2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CB6CAF">
        <w:rPr>
          <w:noProof/>
        </w:rPr>
        <w:t>29. april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:rsidR="00017E28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5036789" w:history="1">
        <w:r w:rsidR="00017E28" w:rsidRPr="00B978D6">
          <w:rPr>
            <w:rStyle w:val="Hyperlink"/>
            <w:noProof/>
          </w:rPr>
          <w:t>1.</w:t>
        </w:r>
        <w:r w:rsidR="00017E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17E28" w:rsidRPr="00B978D6">
          <w:rPr>
            <w:rStyle w:val="Hyperlink"/>
            <w:noProof/>
          </w:rPr>
          <w:t>Indledning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_Toc355036789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 w:rsidR="00CB6CAF">
          <w:rPr>
            <w:noProof/>
            <w:webHidden/>
          </w:rPr>
          <w:t>3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0" w:history="1">
        <w:r w:rsidR="00017E28" w:rsidRPr="00B978D6">
          <w:rPr>
            <w:rStyle w:val="Hyperlink"/>
            <w:noProof/>
          </w:rPr>
          <w:t>1.1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Dokumentets formål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_Toc355036790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1" w:history="1">
        <w:r w:rsidR="00017E28" w:rsidRPr="00B978D6">
          <w:rPr>
            <w:rStyle w:val="Hyperlink"/>
            <w:noProof/>
          </w:rPr>
          <w:t>1.2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Dokumentets sammenhæng til øvrige dokumenter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_Toc355036791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2" w:history="1">
        <w:r w:rsidR="00017E28" w:rsidRPr="00B978D6">
          <w:rPr>
            <w:rStyle w:val="Hyperlink"/>
            <w:noProof/>
          </w:rPr>
          <w:t>1.3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Læsevejledning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_Toc355036792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6793" w:history="1">
        <w:r w:rsidR="00017E28" w:rsidRPr="00B978D6">
          <w:rPr>
            <w:rStyle w:val="Hyperlink"/>
            <w:noProof/>
          </w:rPr>
          <w:t>2.</w:t>
        </w:r>
        <w:r w:rsidR="00017E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17E28" w:rsidRPr="00B978D6">
          <w:rPr>
            <w:rStyle w:val="Hyperlink"/>
            <w:noProof/>
          </w:rPr>
          <w:t>Matrikel services og integrationer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_Toc355036793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4" w:history="1">
        <w:r w:rsidR="00017E28" w:rsidRPr="00B978D6">
          <w:rPr>
            <w:rStyle w:val="Hyperlink"/>
            <w:noProof/>
          </w:rPr>
          <w:t>2.1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Overblik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_Toc355036794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5" w:history="1">
        <w:r w:rsidR="00017E28" w:rsidRPr="00B978D6">
          <w:rPr>
            <w:rStyle w:val="Hyperlink"/>
            <w:noProof/>
          </w:rPr>
          <w:t>2.2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Serviceprincipper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_Toc355036795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6" w:history="1">
        <w:r w:rsidR="00017E28" w:rsidRPr="00B978D6">
          <w:rPr>
            <w:rStyle w:val="Hyperlink"/>
            <w:noProof/>
          </w:rPr>
          <w:t>2.3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Matriklens services og integrationer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_Toc355036796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6797" w:history="1">
        <w:r w:rsidR="00017E28" w:rsidRPr="00B978D6">
          <w:rPr>
            <w:rStyle w:val="Hyperlink"/>
            <w:noProof/>
          </w:rPr>
          <w:t>3.</w:t>
        </w:r>
        <w:r w:rsidR="00017E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17E28" w:rsidRPr="00B978D6">
          <w:rPr>
            <w:rStyle w:val="Hyperlink"/>
            <w:noProof/>
          </w:rPr>
          <w:t>Udstillingsservices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_Toc355036797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798" w:history="1">
        <w:r w:rsidR="00017E28" w:rsidRPr="00B978D6">
          <w:rPr>
            <w:rStyle w:val="Hyperlink"/>
            <w:noProof/>
          </w:rPr>
          <w:t>3.1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Service &lt;XXX&gt;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_Toc355036798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6799" w:history="1">
        <w:r w:rsidR="00017E28" w:rsidRPr="00B978D6">
          <w:rPr>
            <w:rStyle w:val="Hyperlink"/>
            <w:noProof/>
          </w:rPr>
          <w:t>4.</w:t>
        </w:r>
        <w:r w:rsidR="00017E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17E28" w:rsidRPr="00B978D6">
          <w:rPr>
            <w:rStyle w:val="Hyperlink"/>
            <w:noProof/>
          </w:rPr>
          <w:t>Ajourføringsservices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_Toc355036799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800" w:history="1">
        <w:r w:rsidR="00017E28" w:rsidRPr="00B978D6">
          <w:rPr>
            <w:rStyle w:val="Hyperlink"/>
            <w:noProof/>
          </w:rPr>
          <w:t>4.1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Service &lt;XXX&gt;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_Toc355036800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6801" w:history="1">
        <w:r w:rsidR="00017E28" w:rsidRPr="00B978D6">
          <w:rPr>
            <w:rStyle w:val="Hyperlink"/>
            <w:noProof/>
          </w:rPr>
          <w:t>5.</w:t>
        </w:r>
        <w:r w:rsidR="00017E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17E28" w:rsidRPr="00B978D6">
          <w:rPr>
            <w:rStyle w:val="Hyperlink"/>
            <w:noProof/>
          </w:rPr>
          <w:t>Øvrige integrationer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_Toc355036801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17E28">
          <w:rPr>
            <w:noProof/>
            <w:webHidden/>
          </w:rPr>
          <w:fldChar w:fldCharType="end"/>
        </w:r>
      </w:hyperlink>
    </w:p>
    <w:p w:rsidR="00017E28" w:rsidRDefault="00CB6CAF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6802" w:history="1">
        <w:r w:rsidR="00017E28" w:rsidRPr="00B978D6">
          <w:rPr>
            <w:rStyle w:val="Hyperlink"/>
            <w:noProof/>
          </w:rPr>
          <w:t>5.1</w:t>
        </w:r>
        <w:r w:rsidR="00017E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17E28" w:rsidRPr="00B978D6">
          <w:rPr>
            <w:rStyle w:val="Hyperlink"/>
            <w:noProof/>
          </w:rPr>
          <w:t>Integration &lt;XXX&gt;</w:t>
        </w:r>
        <w:r w:rsidR="00017E28">
          <w:rPr>
            <w:noProof/>
            <w:webHidden/>
          </w:rPr>
          <w:tab/>
        </w:r>
        <w:r w:rsidR="00017E28">
          <w:rPr>
            <w:noProof/>
            <w:webHidden/>
          </w:rPr>
          <w:fldChar w:fldCharType="begin"/>
        </w:r>
        <w:r w:rsidR="00017E28">
          <w:rPr>
            <w:noProof/>
            <w:webHidden/>
          </w:rPr>
          <w:instrText xml:space="preserve"> PAGEREF _Toc355036802 \h </w:instrText>
        </w:r>
        <w:r w:rsidR="00017E28">
          <w:rPr>
            <w:noProof/>
            <w:webHidden/>
          </w:rPr>
        </w:r>
        <w:r w:rsidR="00017E2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17E28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5036789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5036790"/>
      <w:r>
        <w:rPr>
          <w:lang w:val="da-DK"/>
        </w:rP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7F4F8A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</w:t>
      </w:r>
      <w:r w:rsidR="0054217E">
        <w:t>.</w:t>
      </w:r>
    </w:p>
    <w:p w:rsidR="0054217E" w:rsidRDefault="0054217E" w:rsidP="0054217E">
      <w:pPr>
        <w:ind w:left="709"/>
      </w:pPr>
      <w:r>
        <w:t>Dokumentet her beskriver Matriklens løsningsarkitektur til brug for denne tværgående kvalitetssikring.</w:t>
      </w:r>
    </w:p>
    <w:p w:rsidR="0054217E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Derudover danner løsningsarkitekturen rammerne for kravspecificering og udvikling hhv. tilpasning af Matrikel løsning til Ejendomsdataprogrammet.</w:t>
      </w:r>
    </w:p>
    <w:p w:rsidR="00440EF7" w:rsidRDefault="007F4F8A" w:rsidP="00440EF7">
      <w:pPr>
        <w:pStyle w:val="Overskrift2"/>
        <w:rPr>
          <w:lang w:val="da-DK"/>
        </w:rPr>
      </w:pPr>
      <w:bookmarkStart w:id="14" w:name="_Toc353539084"/>
      <w:bookmarkStart w:id="15" w:name="_Toc355036791"/>
      <w:r w:rsidRPr="007F4F8A">
        <w:rPr>
          <w:lang w:val="da-DK"/>
        </w:rPr>
        <w:t>Dokumentets sammenhæng til øvrige dokumenter</w:t>
      </w:r>
      <w:bookmarkEnd w:id="14"/>
      <w:bookmarkEnd w:id="15"/>
    </w:p>
    <w:p w:rsidR="00844B1D" w:rsidRPr="00844B1D" w:rsidRDefault="00844B1D" w:rsidP="00844B1D">
      <w:r w:rsidRPr="00844B1D">
        <w:rPr>
          <w:highlight w:val="yellow"/>
        </w:rPr>
        <w:t>NB! Nedenstående figur tilrettes den konkrete kontekst.</w:t>
      </w:r>
    </w:p>
    <w:p w:rsidR="007F4F8A" w:rsidRPr="007F4F8A" w:rsidRDefault="007F4F8A" w:rsidP="007F4F8A"/>
    <w:p w:rsidR="0035143B" w:rsidRDefault="006B2EA5" w:rsidP="00844B1D">
      <w:pPr>
        <w:keepNext/>
        <w:jc w:val="center"/>
      </w:pPr>
      <w:r>
        <w:rPr>
          <w:noProof/>
        </w:rPr>
        <w:drawing>
          <wp:inline distT="0" distB="0" distL="0" distR="0">
            <wp:extent cx="3679200" cy="2192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CB6CAF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844B1D">
        <w:rPr>
          <w:b w:val="0"/>
        </w:rPr>
        <w:t>Løsningsarkitekturens sammenhæng til andre dokumenter.</w:t>
      </w:r>
    </w:p>
    <w:p w:rsidR="006B2EA5" w:rsidRDefault="00844B1D" w:rsidP="00440EF7">
      <w:r>
        <w:t xml:space="preserve">Løsningsarkitekturen er opbygget af et hoveddokument og fire underbilag. </w:t>
      </w:r>
    </w:p>
    <w:p w:rsidR="0035143B" w:rsidRDefault="00844B1D" w:rsidP="00440EF7">
      <w:r>
        <w:t xml:space="preserve">Dokumentet her udgør </w:t>
      </w:r>
      <w:r w:rsidR="006B2EA5">
        <w:t>løsningsarkitekturens underbilag A – Servicebeskrivelser.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Grunddataprogrammet, som har udstukket rammerne for den overordnede løsningsarkitektur – herunder krav om udstilling af grunddata via Datafordeleren.</w:t>
      </w:r>
      <w:r w:rsidR="00037CD6">
        <w:t xml:space="preserve"> Grunddataprogrammet har også udstukket rammer ift. en fællesoffentlig datamodel og dertil hørende standarder.</w:t>
      </w:r>
    </w:p>
    <w:p w:rsidR="00844B1D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Rammearkitekturer – </w:t>
      </w:r>
      <w:r w:rsidRPr="00037CD6">
        <w:rPr>
          <w:highlight w:val="yellow"/>
        </w:rPr>
        <w:t xml:space="preserve">skal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GST/Matriklen - Eksisterende beskrivelser - </w:t>
      </w:r>
      <w:r>
        <w:rPr>
          <w:highlight w:val="yellow"/>
        </w:rPr>
        <w:t>ska</w:t>
      </w:r>
      <w:r w:rsidRPr="00037CD6">
        <w:rPr>
          <w:highlight w:val="yellow"/>
        </w:rPr>
        <w:t xml:space="preserve">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697D8D" w:rsidRPr="000D27E0" w:rsidRDefault="00322993" w:rsidP="00322993">
      <w:pPr>
        <w:pStyle w:val="Overskrift2"/>
        <w:rPr>
          <w:lang w:val="da-DK"/>
        </w:rPr>
      </w:pPr>
      <w:bookmarkStart w:id="16" w:name="_Toc278529872"/>
      <w:bookmarkStart w:id="17" w:name="_Toc355036792"/>
      <w:r w:rsidRPr="000D27E0">
        <w:rPr>
          <w:lang w:val="da-DK"/>
        </w:rPr>
        <w:lastRenderedPageBreak/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F0342D" w:rsidRDefault="00F0342D" w:rsidP="00791994">
      <w:r w:rsidRPr="00F0342D">
        <w:rPr>
          <w:highlight w:val="yellow"/>
        </w:rPr>
        <w:t>&lt;Nedenstående skal tilpasses det konkrete indhold&gt;</w:t>
      </w:r>
    </w:p>
    <w:p w:rsidR="00060168" w:rsidRPr="00D34FAB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017E28">
        <w:rPr>
          <w:b/>
        </w:rPr>
        <w:t>Matrikel services og integrationer</w:t>
      </w:r>
      <w:r w:rsidRPr="00AD156D">
        <w:rPr>
          <w:b/>
        </w:rPr>
        <w:br/>
      </w:r>
      <w:r w:rsidR="002F1E0C" w:rsidRPr="00D34FAB">
        <w:t>Indeholder</w:t>
      </w:r>
      <w:r w:rsidR="00017E28">
        <w:t xml:space="preserve"> en beskrivelse af de typer af services og integrationer, som findes i matriklens løsningsarkitektur, samt de overordnede rammer og principper der ligger til grund. Desuden gives der et overblik over matriklens services og integrationer. 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017E28">
        <w:rPr>
          <w:b/>
        </w:rPr>
        <w:t>Udstillingsservices</w:t>
      </w:r>
      <w:r w:rsidRPr="00AD156D">
        <w:rPr>
          <w:b/>
        </w:rPr>
        <w:br/>
      </w:r>
      <w:r w:rsidR="006B2EA5">
        <w:t>Indeholde</w:t>
      </w:r>
      <w:r w:rsidR="00017E28">
        <w:t>r en detaljeret beskrivelse af hver enkelt udstillingsservice og dens operationer.</w:t>
      </w:r>
    </w:p>
    <w:p w:rsidR="001F5F97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>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017E28">
        <w:rPr>
          <w:b/>
        </w:rPr>
        <w:t>Ajourføringsservices</w:t>
      </w:r>
      <w:r w:rsidRPr="00AD156D">
        <w:rPr>
          <w:b/>
        </w:rPr>
        <w:br/>
      </w:r>
      <w:r w:rsidR="00017E28">
        <w:t>Indeholder en detaljeret beskrivelse af hver enkelt ajourføringsservice og dens operationer.</w:t>
      </w:r>
    </w:p>
    <w:p w:rsidR="00017E28" w:rsidRPr="00F0342D" w:rsidRDefault="00017E28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 – Øvrige integrationer</w:t>
      </w:r>
      <w:r>
        <w:rPr>
          <w:b/>
        </w:rPr>
        <w:br/>
      </w:r>
      <w:r w:rsidRPr="00017E28">
        <w:t>Indeholder</w:t>
      </w:r>
      <w:r>
        <w:t xml:space="preserve"> en detaljeret beskrivelse af hver enkelt ikke servicebaseret integration.</w:t>
      </w:r>
    </w:p>
    <w:p w:rsidR="009F3289" w:rsidRDefault="009F3289" w:rsidP="009F3289">
      <w:pPr>
        <w:jc w:val="left"/>
      </w:pPr>
    </w:p>
    <w:p w:rsidR="00CB1F0C" w:rsidRDefault="00993911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55036793"/>
      <w:r>
        <w:lastRenderedPageBreak/>
        <w:t>Matrikel services og integrationer</w:t>
      </w:r>
      <w:bookmarkEnd w:id="18"/>
    </w:p>
    <w:p w:rsidR="00D34FAB" w:rsidRDefault="00993911" w:rsidP="00D34FAB">
      <w:pPr>
        <w:pStyle w:val="Overskrift2"/>
        <w:rPr>
          <w:lang w:val="da-DK"/>
        </w:rPr>
      </w:pPr>
      <w:bookmarkStart w:id="19" w:name="_Toc355036794"/>
      <w:r>
        <w:rPr>
          <w:lang w:val="da-DK"/>
        </w:rPr>
        <w:t>Overblik</w:t>
      </w:r>
      <w:bookmarkEnd w:id="19"/>
    </w:p>
    <w:p w:rsidR="00993911" w:rsidRDefault="00993911" w:rsidP="00993911">
      <w:pPr>
        <w:rPr>
          <w:highlight w:val="yellow"/>
        </w:rPr>
      </w:pPr>
      <w:r>
        <w:rPr>
          <w:highlight w:val="yellow"/>
        </w:rPr>
        <w:t>&lt;</w:t>
      </w:r>
      <w:r w:rsidRPr="00064571">
        <w:rPr>
          <w:highlight w:val="yellow"/>
        </w:rPr>
        <w:t>Her beskrives</w:t>
      </w:r>
      <w:r>
        <w:rPr>
          <w:highlight w:val="yellow"/>
        </w:rPr>
        <w:t xml:space="preserve"> de forskelige grupper af services og integrationer (f.eks. Ajourføringsservices og Udstillingsservices, eksisterende integrationer) som specificeres, med relation til løsningsarkitekturens elementer, begrundelse for detaljeringsniveau, a</w:t>
      </w:r>
      <w:r w:rsidR="00DC5C45">
        <w:rPr>
          <w:highlight w:val="yellow"/>
        </w:rPr>
        <w:t>r</w:t>
      </w:r>
      <w:r>
        <w:rPr>
          <w:highlight w:val="yellow"/>
        </w:rPr>
        <w:t>kitektur rammer og standarder som har betydning for servicespecifikationen og eventuelle forhold som har betydning for udvælgelsen og grupperingen af services.&gt;</w:t>
      </w:r>
    </w:p>
    <w:p w:rsidR="00993911" w:rsidRDefault="00DC5C45" w:rsidP="00DC5C45">
      <w:pPr>
        <w:pStyle w:val="Overskrift2"/>
      </w:pPr>
      <w:bookmarkStart w:id="20" w:name="_Toc355036795"/>
      <w:r w:rsidRPr="00DC5C45">
        <w:rPr>
          <w:lang w:val="da-DK"/>
        </w:rPr>
        <w:t>Serviceprinci</w:t>
      </w:r>
      <w:r>
        <w:rPr>
          <w:lang w:val="da-DK"/>
        </w:rPr>
        <w:t>p</w:t>
      </w:r>
      <w:r w:rsidRPr="00DC5C45">
        <w:rPr>
          <w:lang w:val="da-DK"/>
        </w:rPr>
        <w:t>per</w:t>
      </w:r>
      <w:bookmarkEnd w:id="20"/>
    </w:p>
    <w:p w:rsidR="00DC5C45" w:rsidRDefault="00DC5C45" w:rsidP="00DC5C45">
      <w:pPr>
        <w:rPr>
          <w:highlight w:val="yellow"/>
        </w:rPr>
      </w:pPr>
      <w:r>
        <w:rPr>
          <w:highlight w:val="yellow"/>
        </w:rPr>
        <w:t xml:space="preserve">&lt;Her beskrives evt. generelle principper lagt til grund for definitionen af de enkelte services. Generelle/specialiserede services, samme service til brugerflade og S2S tilgang? etc.&gt; </w:t>
      </w:r>
    </w:p>
    <w:p w:rsidR="006B2EA5" w:rsidRDefault="00DC5C45" w:rsidP="00DC5C45">
      <w:pPr>
        <w:pStyle w:val="Overskrift2"/>
        <w:rPr>
          <w:lang w:val="da-DK"/>
        </w:rPr>
      </w:pPr>
      <w:bookmarkStart w:id="21" w:name="_Toc355036796"/>
      <w:r w:rsidRPr="00DC5C45">
        <w:rPr>
          <w:lang w:val="da-DK"/>
        </w:rPr>
        <w:t>Matriklens</w:t>
      </w:r>
      <w:r>
        <w:t xml:space="preserve"> services </w:t>
      </w:r>
      <w:r w:rsidRPr="00DC5C45">
        <w:rPr>
          <w:lang w:val="da-DK"/>
        </w:rPr>
        <w:t>og</w:t>
      </w:r>
      <w:r>
        <w:t xml:space="preserve"> </w:t>
      </w:r>
      <w:r w:rsidRPr="00DC5C45">
        <w:rPr>
          <w:lang w:val="da-DK"/>
        </w:rPr>
        <w:t>integrationer</w:t>
      </w:r>
      <w:bookmarkEnd w:id="21"/>
    </w:p>
    <w:p w:rsidR="00DC5C45" w:rsidRDefault="00DC5C45" w:rsidP="00DC5C45">
      <w:pPr>
        <w:rPr>
          <w:highlight w:val="yellow"/>
        </w:rPr>
      </w:pPr>
      <w:r>
        <w:rPr>
          <w:highlight w:val="yellow"/>
        </w:rPr>
        <w:t>&lt;Her gives et overblik over de forskellige services og integrationer inden for de valgte hovedgrupperinger.</w:t>
      </w:r>
    </w:p>
    <w:p w:rsidR="00DC5C45" w:rsidRDefault="00DC5C45" w:rsidP="00DC5C45">
      <w:pPr>
        <w:rPr>
          <w:highlight w:val="yellow"/>
        </w:rPr>
      </w:pPr>
      <w:r>
        <w:rPr>
          <w:highlight w:val="yellow"/>
        </w:rPr>
        <w:t xml:space="preserve">Overblikket kan være i tabelform eller illustreret i en figur – afhængig af den konkrete kontekst.&gt; </w:t>
      </w:r>
    </w:p>
    <w:p w:rsidR="00DC5C45" w:rsidRDefault="00DC5C45" w:rsidP="00DC5C45">
      <w:pPr>
        <w:pStyle w:val="Overskrift1"/>
      </w:pPr>
      <w:bookmarkStart w:id="22" w:name="_Toc355036797"/>
      <w:r>
        <w:lastRenderedPageBreak/>
        <w:t>Udstillingsservices</w:t>
      </w:r>
      <w:bookmarkEnd w:id="22"/>
    </w:p>
    <w:p w:rsidR="00DC5C45" w:rsidRDefault="00DC5C45" w:rsidP="00DC5C45">
      <w:pPr>
        <w:pStyle w:val="Overskrift2"/>
      </w:pPr>
      <w:bookmarkStart w:id="23" w:name="_Toc355036798"/>
      <w:r>
        <w:t>Service &lt;XXX&gt;</w:t>
      </w:r>
      <w:bookmarkEnd w:id="23"/>
    </w:p>
    <w:p w:rsidR="00DC5C45" w:rsidRDefault="00DC5C45" w:rsidP="00DC5C45">
      <w:r>
        <w:rPr>
          <w:highlight w:val="yellow"/>
        </w:rPr>
        <w:t>Der laves et afsnit for hver service</w:t>
      </w:r>
      <w:r w:rsidRPr="00064571">
        <w:rPr>
          <w:highlight w:val="yellow"/>
        </w:rPr>
        <w:t>.</w:t>
      </w:r>
    </w:p>
    <w:p w:rsidR="00DC5C45" w:rsidRDefault="00DC5C45" w:rsidP="00DC5C45">
      <w:r w:rsidRPr="007F1C3E">
        <w:rPr>
          <w:highlight w:val="yellow"/>
        </w:rPr>
        <w:t xml:space="preserve">Hvis </w:t>
      </w:r>
      <w:r>
        <w:rPr>
          <w:highlight w:val="yellow"/>
        </w:rPr>
        <w:t xml:space="preserve">der er behov for yderligere </w:t>
      </w:r>
      <w:r w:rsidRPr="007F1C3E">
        <w:rPr>
          <w:highlight w:val="yellow"/>
        </w:rPr>
        <w:t>grupper</w:t>
      </w:r>
      <w:r>
        <w:rPr>
          <w:highlight w:val="yellow"/>
        </w:rPr>
        <w:t>ing af Udstillingsservices</w:t>
      </w:r>
      <w:r w:rsidRPr="007F1C3E">
        <w:rPr>
          <w:highlight w:val="yellow"/>
        </w:rPr>
        <w:t>, kan der</w:t>
      </w:r>
      <w:r>
        <w:rPr>
          <w:highlight w:val="yellow"/>
        </w:rPr>
        <w:t xml:space="preserve"> </w:t>
      </w:r>
      <w:r w:rsidRPr="007F1C3E">
        <w:rPr>
          <w:highlight w:val="yellow"/>
        </w:rPr>
        <w:t>eventuelt laves en opdeling i afsnit per gruppe.</w:t>
      </w:r>
    </w:p>
    <w:p w:rsidR="00DC5C45" w:rsidRDefault="00DC5C45" w:rsidP="00DC5C45">
      <w:pPr>
        <w:rPr>
          <w:highlight w:val="yellow"/>
        </w:rPr>
      </w:pPr>
    </w:p>
    <w:p w:rsidR="00DC5C45" w:rsidRDefault="00DC5C45" w:rsidP="00DC5C45">
      <w:r w:rsidRPr="005F1A78">
        <w:rPr>
          <w:highlight w:val="yellow"/>
        </w:rPr>
        <w:t>Servicen beskrives i nedenstående skabelon.</w:t>
      </w:r>
    </w:p>
    <w:p w:rsidR="00DC5C45" w:rsidRDefault="00DC5C45" w:rsidP="00DC5C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C5C45" w:rsidRPr="0069021B" w:rsidTr="00551BEB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Service</w:t>
            </w:r>
            <w:r w:rsidRPr="0071171B">
              <w:rPr>
                <w:b/>
                <w:szCs w:val="22"/>
              </w:rPr>
              <w:t>navn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Operationer</w:t>
            </w:r>
          </w:p>
        </w:tc>
        <w:tc>
          <w:tcPr>
            <w:tcW w:w="6552" w:type="dxa"/>
          </w:tcPr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&lt;Operationsnavn&gt;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&lt;Operationsnavn&gt;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Begreber</w:t>
            </w:r>
          </w:p>
        </w:tc>
        <w:tc>
          <w:tcPr>
            <w:tcW w:w="6552" w:type="dxa"/>
          </w:tcPr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Begrebnavn</w:t>
            </w:r>
            <w:proofErr w:type="spellEnd"/>
            <w:r>
              <w:rPr>
                <w:sz w:val="20"/>
                <w:szCs w:val="20"/>
              </w:rPr>
              <w:t>&gt;</w:t>
            </w:r>
          </w:p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Begrebnavn</w:t>
            </w:r>
            <w:proofErr w:type="spellEnd"/>
            <w:r>
              <w:rPr>
                <w:sz w:val="20"/>
                <w:szCs w:val="20"/>
              </w:rPr>
              <w:t>&gt;</w:t>
            </w:r>
          </w:p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</w:t>
            </w:r>
            <w:proofErr w:type="gramEnd"/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Initialer og dato</w:t>
            </w:r>
          </w:p>
        </w:tc>
      </w:tr>
    </w:tbl>
    <w:p w:rsidR="00DC5C45" w:rsidRDefault="00DC5C45" w:rsidP="00DC5C45"/>
    <w:p w:rsidR="00DC5C45" w:rsidRDefault="00DC5C45" w:rsidP="00DC5C45">
      <w:r w:rsidRPr="005F1A78">
        <w:rPr>
          <w:highlight w:val="yellow"/>
        </w:rPr>
        <w:t>Hver af servicens operationer beskrives i nedenstående skabelon</w:t>
      </w:r>
    </w:p>
    <w:p w:rsidR="00DC5C45" w:rsidRDefault="00DC5C45" w:rsidP="00DC5C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C5C45" w:rsidRPr="0069021B" w:rsidTr="00551BEB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Service</w:t>
            </w:r>
            <w:r w:rsidRPr="0071171B">
              <w:rPr>
                <w:b/>
                <w:szCs w:val="22"/>
              </w:rPr>
              <w:t>navn</w:t>
            </w:r>
            <w:r>
              <w:rPr>
                <w:b/>
                <w:szCs w:val="22"/>
              </w:rPr>
              <w:t xml:space="preserve"> Operationsnavn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parametre:</w:t>
            </w:r>
          </w:p>
        </w:tc>
        <w:tc>
          <w:tcPr>
            <w:tcW w:w="6552" w:type="dxa"/>
          </w:tcPr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parametre:</w:t>
            </w:r>
          </w:p>
        </w:tc>
        <w:tc>
          <w:tcPr>
            <w:tcW w:w="6552" w:type="dxa"/>
          </w:tcPr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DC5C45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DC5C45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beskrives returkoder,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>- og postbetingelser og sikkerhedsforhold, når disse har forretningsmæssig</w:t>
            </w:r>
            <w:r w:rsidR="00011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betydning.</w:t>
            </w:r>
          </w:p>
        </w:tc>
      </w:tr>
      <w:tr w:rsidR="00DC5C45" w:rsidRPr="0069021B" w:rsidTr="00551BE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5C45" w:rsidRPr="0071171B" w:rsidRDefault="00DC5C45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45" w:rsidRPr="0071171B" w:rsidRDefault="00DC5C45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Initialer og dato</w:t>
            </w:r>
          </w:p>
        </w:tc>
      </w:tr>
    </w:tbl>
    <w:p w:rsidR="00DC5C45" w:rsidRDefault="00DC5C45" w:rsidP="00DC5C45"/>
    <w:p w:rsidR="00CC3931" w:rsidRDefault="00DB5DCA" w:rsidP="00DB5DCA">
      <w:pPr>
        <w:pStyle w:val="Overskrift1"/>
      </w:pPr>
      <w:bookmarkStart w:id="24" w:name="_Toc355036799"/>
      <w:r>
        <w:lastRenderedPageBreak/>
        <w:t>Ajourføringsservices</w:t>
      </w:r>
      <w:bookmarkEnd w:id="24"/>
    </w:p>
    <w:p w:rsidR="00DB5DCA" w:rsidRDefault="00DB5DCA" w:rsidP="00DB5DCA">
      <w:pPr>
        <w:pStyle w:val="Overskrift2"/>
      </w:pPr>
      <w:bookmarkStart w:id="25" w:name="_Toc355036800"/>
      <w:r>
        <w:t>Service &lt;XXX&gt;</w:t>
      </w:r>
      <w:bookmarkEnd w:id="25"/>
    </w:p>
    <w:p w:rsidR="00DB5DCA" w:rsidRDefault="00DB5DCA" w:rsidP="00DB5DCA">
      <w:r w:rsidRPr="009E0773">
        <w:rPr>
          <w:highlight w:val="yellow"/>
        </w:rPr>
        <w:t xml:space="preserve">Samme beskrivelsesstruktur som ved </w:t>
      </w:r>
      <w:r>
        <w:rPr>
          <w:highlight w:val="yellow"/>
        </w:rPr>
        <w:t>Udstillingsservices</w:t>
      </w:r>
    </w:p>
    <w:p w:rsidR="00DB5DCA" w:rsidRDefault="00017E28" w:rsidP="00DB5DCA">
      <w:pPr>
        <w:pStyle w:val="Overskrift1"/>
      </w:pPr>
      <w:bookmarkStart w:id="26" w:name="_Toc355036801"/>
      <w:r>
        <w:lastRenderedPageBreak/>
        <w:t>Øvrige i</w:t>
      </w:r>
      <w:r w:rsidR="00DB5DCA" w:rsidRPr="000D4E96">
        <w:t>ntegrationer</w:t>
      </w:r>
      <w:bookmarkEnd w:id="26"/>
    </w:p>
    <w:p w:rsidR="000D4E96" w:rsidRDefault="000D4E96" w:rsidP="000D4E96">
      <w:pPr>
        <w:pStyle w:val="Overskrift2"/>
      </w:pPr>
      <w:bookmarkStart w:id="27" w:name="_Toc355036802"/>
      <w:r>
        <w:t>Integration &lt;XXX&gt;</w:t>
      </w:r>
      <w:bookmarkEnd w:id="27"/>
    </w:p>
    <w:p w:rsidR="000D4E96" w:rsidRDefault="000D4E96" w:rsidP="000D4E96">
      <w:r w:rsidRPr="000D4E96">
        <w:rPr>
          <w:highlight w:val="yellow"/>
        </w:rPr>
        <w:t>Der laves et afsnit for hver ikke servicebaseret integration.</w:t>
      </w:r>
    </w:p>
    <w:p w:rsidR="000D4E96" w:rsidRDefault="00011A43" w:rsidP="000D4E96">
      <w:r>
        <w:rPr>
          <w:highlight w:val="yellow"/>
        </w:rPr>
        <w:t>Hvis der e</w:t>
      </w:r>
      <w:r w:rsidRPr="00011A43">
        <w:rPr>
          <w:highlight w:val="yellow"/>
        </w:rPr>
        <w:t>r behov for yderligere gruppering kan denne foretages ud fra f.eks. involverede elementer.</w:t>
      </w:r>
    </w:p>
    <w:p w:rsidR="000D4E96" w:rsidRPr="000D4E96" w:rsidRDefault="000D4E96" w:rsidP="000D4E96"/>
    <w:p w:rsidR="000D4E96" w:rsidRDefault="000D4E96" w:rsidP="000D4E96">
      <w:r w:rsidRPr="000D4E96">
        <w:rPr>
          <w:highlight w:val="yellow"/>
        </w:rPr>
        <w:t>Integrationen beskrives i nedenstående skabelon</w:t>
      </w:r>
      <w:r>
        <w:t>.</w:t>
      </w:r>
    </w:p>
    <w:p w:rsidR="000D4E96" w:rsidRDefault="000D4E96" w:rsidP="000D4E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0D4E96" w:rsidRPr="0069021B" w:rsidTr="00551BEB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0D4E96" w:rsidRPr="0071171B" w:rsidRDefault="000D4E96" w:rsidP="00551BEB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Integrationsnavn</w:t>
            </w:r>
          </w:p>
        </w:tc>
      </w:tr>
      <w:tr w:rsidR="000D4E96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0D4E96" w:rsidRPr="0071171B" w:rsidRDefault="000D4E96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0D4E96" w:rsidRPr="0071171B" w:rsidRDefault="000D4E96" w:rsidP="00551BE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D4E96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0D4E96" w:rsidRDefault="000D4E96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Involverede parter:</w:t>
            </w:r>
          </w:p>
        </w:tc>
        <w:tc>
          <w:tcPr>
            <w:tcW w:w="6552" w:type="dxa"/>
          </w:tcPr>
          <w:p w:rsidR="000D4E96" w:rsidRPr="0071171B" w:rsidRDefault="00011A43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refereres de elementer i løsningsarkitekturen, som der integreres mellem.</w:t>
            </w:r>
          </w:p>
        </w:tc>
      </w:tr>
      <w:tr w:rsidR="00011A43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011A43" w:rsidRDefault="00011A43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Integrationsmønster:</w:t>
            </w:r>
          </w:p>
        </w:tc>
        <w:tc>
          <w:tcPr>
            <w:tcW w:w="6552" w:type="dxa"/>
          </w:tcPr>
          <w:p w:rsidR="00011A43" w:rsidRDefault="00011A43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beskrives anvendelse</w:t>
            </w:r>
            <w:r w:rsidR="00017E2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af integrationsmønster.</w:t>
            </w:r>
          </w:p>
        </w:tc>
      </w:tr>
      <w:tr w:rsidR="000D4E96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0D4E96" w:rsidRPr="0071171B" w:rsidRDefault="007E5878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Informationer</w:t>
            </w:r>
            <w:r w:rsidR="000D4E96">
              <w:rPr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0D4E96" w:rsidRDefault="000D4E96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0D4E96" w:rsidRPr="0071171B" w:rsidRDefault="000D4E96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&lt;Attributnavn&gt;</w:t>
            </w:r>
          </w:p>
          <w:p w:rsidR="000D4E96" w:rsidRPr="0071171B" w:rsidRDefault="000D4E96" w:rsidP="00551BEB">
            <w:pPr>
              <w:spacing w:after="40"/>
              <w:rPr>
                <w:sz w:val="20"/>
                <w:szCs w:val="20"/>
              </w:rPr>
            </w:pPr>
            <w:proofErr w:type="gramStart"/>
            <w:r w:rsidRPr="0071171B">
              <w:rPr>
                <w:sz w:val="20"/>
                <w:szCs w:val="20"/>
              </w:rPr>
              <w:t>. .</w:t>
            </w:r>
            <w:proofErr w:type="gramEnd"/>
            <w:r w:rsidRPr="0071171B">
              <w:rPr>
                <w:sz w:val="20"/>
                <w:szCs w:val="20"/>
              </w:rPr>
              <w:t xml:space="preserve"> . . .</w:t>
            </w:r>
          </w:p>
        </w:tc>
      </w:tr>
      <w:tr w:rsidR="000D4E96" w:rsidRPr="0069021B" w:rsidTr="00551BEB">
        <w:trPr>
          <w:cantSplit/>
        </w:trPr>
        <w:tc>
          <w:tcPr>
            <w:tcW w:w="1985" w:type="dxa"/>
            <w:shd w:val="clear" w:color="auto" w:fill="DAEEF3"/>
          </w:tcPr>
          <w:p w:rsidR="000D4E96" w:rsidRDefault="000D4E96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</w:tcPr>
          <w:p w:rsidR="000D4E96" w:rsidRDefault="000D4E96" w:rsidP="007E587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beskrives </w:t>
            </w:r>
            <w:r w:rsidR="007E5878">
              <w:rPr>
                <w:sz w:val="20"/>
                <w:szCs w:val="20"/>
              </w:rPr>
              <w:t>yderligere forhold af</w:t>
            </w:r>
            <w:r>
              <w:rPr>
                <w:sz w:val="20"/>
                <w:szCs w:val="20"/>
              </w:rPr>
              <w:t xml:space="preserve"> forretningsmæssig</w:t>
            </w:r>
            <w:r w:rsidR="00011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betydning.</w:t>
            </w:r>
          </w:p>
        </w:tc>
      </w:tr>
      <w:tr w:rsidR="000D4E96" w:rsidRPr="0069021B" w:rsidTr="00551BE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D4E96" w:rsidRPr="0071171B" w:rsidRDefault="000D4E96" w:rsidP="00551BE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6" w:rsidRPr="0071171B" w:rsidRDefault="000D4E96" w:rsidP="00551B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Initialer og dato</w:t>
            </w:r>
          </w:p>
        </w:tc>
      </w:tr>
    </w:tbl>
    <w:p w:rsidR="000D4E96" w:rsidRDefault="000D4E96" w:rsidP="000D4E96"/>
    <w:p w:rsidR="000D4E96" w:rsidRPr="000D4E96" w:rsidRDefault="000D4E96" w:rsidP="000D4E96"/>
    <w:sectPr w:rsidR="000D4E96" w:rsidRPr="000D4E96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46" w:rsidRDefault="00476046">
      <w:pPr>
        <w:pStyle w:val="Overskrift1"/>
      </w:pPr>
      <w:r>
        <w:t>References.</w:t>
      </w:r>
    </w:p>
  </w:endnote>
  <w:endnote w:type="continuationSeparator" w:id="0">
    <w:p w:rsidR="00476046" w:rsidRDefault="004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C03E8A"/>
  <w:p w:rsidR="00C03E8A" w:rsidRDefault="00C03E8A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7F4F8A" w:rsidTr="007F4F8A">
      <w:tc>
        <w:tcPr>
          <w:tcW w:w="2881" w:type="dxa"/>
          <w:shd w:val="clear" w:color="auto" w:fill="auto"/>
        </w:tcPr>
        <w:p w:rsidR="007F4F8A" w:rsidRDefault="007F4F8A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7F4F8A" w:rsidRDefault="007F4F8A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CB6CAF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CB6CAF">
            <w:rPr>
              <w:rStyle w:val="Sidetal"/>
              <w:noProof/>
            </w:rPr>
            <w:t>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C03E8A" w:rsidRDefault="00C03E8A" w:rsidP="004E5375">
    <w:pPr>
      <w:pStyle w:val="Sidehoved"/>
      <w:jc w:val="right"/>
    </w:pPr>
  </w:p>
  <w:p w:rsidR="00C03E8A" w:rsidRDefault="00C03E8A">
    <w:pPr>
      <w:pStyle w:val="Sidefod"/>
      <w:jc w:val="center"/>
    </w:pPr>
  </w:p>
  <w:p w:rsidR="00C03E8A" w:rsidRDefault="00C03E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03E8A" w:rsidRPr="00022208" w:rsidTr="00022208">
      <w:tc>
        <w:tcPr>
          <w:tcW w:w="7088" w:type="dxa"/>
          <w:shd w:val="clear" w:color="auto" w:fill="auto"/>
        </w:tcPr>
        <w:p w:rsidR="00C03E8A" w:rsidRPr="00877C63" w:rsidRDefault="00C03E8A" w:rsidP="00786F5A">
          <w:pPr>
            <w:pStyle w:val="Sidefod"/>
          </w:pPr>
          <w:r w:rsidRPr="00877C63">
            <w:t>Fil:</w:t>
          </w:r>
          <w:r w:rsidR="00CB6CAF">
            <w:fldChar w:fldCharType="begin"/>
          </w:r>
          <w:r w:rsidR="00CB6CAF">
            <w:instrText xml:space="preserve"> FILENAME </w:instrText>
          </w:r>
          <w:r w:rsidR="00CB6CAF">
            <w:fldChar w:fldCharType="separate"/>
          </w:r>
          <w:r w:rsidR="00CB6CAF">
            <w:rPr>
              <w:noProof/>
            </w:rPr>
            <w:t>GD1 - Løsningsarkitektur - Bilag A Servicebeskrivelser</w:t>
          </w:r>
          <w:r w:rsidR="00CB6CAF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C03E8A" w:rsidRPr="00022208" w:rsidRDefault="00C03E8A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03E8A" w:rsidRPr="00C251C5" w:rsidRDefault="00C03E8A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46" w:rsidRDefault="00476046">
      <w:r>
        <w:separator/>
      </w:r>
    </w:p>
  </w:footnote>
  <w:footnote w:type="continuationSeparator" w:id="0">
    <w:p w:rsidR="00476046" w:rsidRDefault="00476046">
      <w:r>
        <w:continuationSeparator/>
      </w:r>
    </w:p>
  </w:footnote>
  <w:footnote w:type="continuationNotice" w:id="1">
    <w:p w:rsidR="00476046" w:rsidRDefault="004760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6B2EA5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A Servicebeskrivelser"  \* MERGEFORMAT </w:instrText>
    </w:r>
    <w:r>
      <w:rPr>
        <w:kern w:val="28"/>
        <w:sz w:val="16"/>
      </w:rPr>
      <w:fldChar w:fldCharType="separate"/>
    </w:r>
    <w:r w:rsidR="00CB6CAF">
      <w:rPr>
        <w:kern w:val="28"/>
        <w:sz w:val="16"/>
      </w:rPr>
      <w:t>Matriklen - Løsningsarkitektur - Bilag A Servicebeskrivelser</w:t>
    </w:r>
    <w:r>
      <w:rPr>
        <w:kern w:val="28"/>
        <w:sz w:val="16"/>
      </w:rPr>
      <w:fldChar w:fldCharType="end"/>
    </w:r>
  </w:p>
  <w:p w:rsidR="00C03E8A" w:rsidRPr="006171CF" w:rsidRDefault="00C03E8A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CB6CAF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03E8A" w:rsidRDefault="00C03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Pr="001D4A86" w:rsidRDefault="00B57E5E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7E117F80" wp14:editId="00554DBC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E8A">
      <w:tab/>
    </w:r>
    <w:r w:rsidR="00C03E8A">
      <w:tab/>
    </w:r>
    <w:r>
      <w:rPr>
        <w:noProof/>
      </w:rPr>
      <w:drawing>
        <wp:inline distT="0" distB="0" distL="0" distR="0" wp14:anchorId="6393DF11" wp14:editId="3AE16ABE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3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5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9"/>
  </w:num>
  <w:num w:numId="4">
    <w:abstractNumId w:val="13"/>
  </w:num>
  <w:num w:numId="5">
    <w:abstractNumId w:val="22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5"/>
  </w:num>
  <w:num w:numId="7">
    <w:abstractNumId w:val="21"/>
  </w:num>
  <w:num w:numId="8">
    <w:abstractNumId w:val="18"/>
  </w:num>
  <w:num w:numId="9">
    <w:abstractNumId w:val="40"/>
  </w:num>
  <w:num w:numId="10">
    <w:abstractNumId w:val="16"/>
  </w:num>
  <w:num w:numId="11">
    <w:abstractNumId w:val="20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10"/>
  </w:num>
  <w:num w:numId="17">
    <w:abstractNumId w:val="23"/>
  </w:num>
  <w:num w:numId="18">
    <w:abstractNumId w:val="41"/>
  </w:num>
  <w:num w:numId="19">
    <w:abstractNumId w:val="28"/>
  </w:num>
  <w:num w:numId="20">
    <w:abstractNumId w:val="37"/>
  </w:num>
  <w:num w:numId="21">
    <w:abstractNumId w:val="36"/>
  </w:num>
  <w:num w:numId="22">
    <w:abstractNumId w:val="32"/>
  </w:num>
  <w:num w:numId="23">
    <w:abstractNumId w:val="6"/>
  </w:num>
  <w:num w:numId="24">
    <w:abstractNumId w:val="0"/>
  </w:num>
  <w:num w:numId="25">
    <w:abstractNumId w:val="11"/>
  </w:num>
  <w:num w:numId="26">
    <w:abstractNumId w:val="39"/>
  </w:num>
  <w:num w:numId="27">
    <w:abstractNumId w:val="5"/>
  </w:num>
  <w:num w:numId="28">
    <w:abstractNumId w:val="30"/>
  </w:num>
  <w:num w:numId="29">
    <w:abstractNumId w:val="2"/>
  </w:num>
  <w:num w:numId="30">
    <w:abstractNumId w:val="31"/>
  </w:num>
  <w:num w:numId="31">
    <w:abstractNumId w:val="33"/>
  </w:num>
  <w:num w:numId="32">
    <w:abstractNumId w:val="15"/>
  </w:num>
  <w:num w:numId="33">
    <w:abstractNumId w:val="7"/>
  </w:num>
  <w:num w:numId="34">
    <w:abstractNumId w:val="38"/>
  </w:num>
  <w:num w:numId="35">
    <w:abstractNumId w:val="17"/>
  </w:num>
  <w:num w:numId="36">
    <w:abstractNumId w:val="29"/>
  </w:num>
  <w:num w:numId="37">
    <w:abstractNumId w:val="3"/>
  </w:num>
  <w:num w:numId="38">
    <w:abstractNumId w:val="27"/>
  </w:num>
  <w:num w:numId="39">
    <w:abstractNumId w:val="3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A43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17E28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4E96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05E2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212EA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76046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5878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11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FA7"/>
    <w:rsid w:val="00AE66D6"/>
    <w:rsid w:val="00AF2516"/>
    <w:rsid w:val="00AF41A6"/>
    <w:rsid w:val="00AF4D24"/>
    <w:rsid w:val="00AF6FCE"/>
    <w:rsid w:val="00AF7D77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6CAF"/>
    <w:rsid w:val="00CB71C0"/>
    <w:rsid w:val="00CC3931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6CF"/>
    <w:rsid w:val="00DB5DCA"/>
    <w:rsid w:val="00DB7C0E"/>
    <w:rsid w:val="00DC1B5B"/>
    <w:rsid w:val="00DC5337"/>
    <w:rsid w:val="00DC5744"/>
    <w:rsid w:val="00DC5C45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08E9-E377-42E6-B982-609CE5CD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674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A Servicebeskrivelser</vt:lpstr>
    </vt:vector>
  </TitlesOfParts>
  <Company>MBBL</Company>
  <LinksUpToDate>false</LinksUpToDate>
  <CharactersWithSpaces>6580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A Servicebeskrivelser</dc:title>
  <dc:subject>Grunddataprogrammet under den Fællesoffentlig digitaliseringsstrategi 2012 - 2015</dc:subject>
  <dc:creator>pll-MBBL</dc:creator>
  <cp:keywords>MBBL-REF: 2012-271</cp:keywords>
  <cp:lastModifiedBy>Klaus Hansen</cp:lastModifiedBy>
  <cp:revision>2</cp:revision>
  <cp:lastPrinted>2013-04-30T06:14:00Z</cp:lastPrinted>
  <dcterms:created xsi:type="dcterms:W3CDTF">2013-04-30T06:14:00Z</dcterms:created>
  <dcterms:modified xsi:type="dcterms:W3CDTF">2013-04-30T06:14:00Z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