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5F" w:rsidRDefault="0071475F" w:rsidP="00267ED0">
      <w:pPr>
        <w:pStyle w:val="Brdtekst"/>
        <w:rPr>
          <w:color w:val="FF0000"/>
        </w:rPr>
      </w:pPr>
      <w:bookmarkStart w:id="0" w:name="_Ref482418243"/>
      <w:bookmarkStart w:id="1" w:name="_GoBack"/>
      <w:bookmarkEnd w:id="1"/>
    </w:p>
    <w:p w:rsidR="009A3781" w:rsidRPr="002B4303" w:rsidRDefault="00DA0AA1" w:rsidP="00267ED0">
      <w:pPr>
        <w:pStyle w:val="Brdtekst"/>
        <w:rPr>
          <w:color w:val="FF0000"/>
        </w:rPr>
      </w:pPr>
      <w:r w:rsidRPr="002B4303">
        <w:rPr>
          <w:color w:val="FF0000"/>
        </w:rPr>
        <w:t>Bilag 26</w:t>
      </w: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Grunddataprogrammet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483FF2" w:rsidRDefault="00FD7A59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"Ejendomsdataprogrammet - Fælles teststrategi"  \* MERGEFORMAT </w:instrText>
      </w:r>
      <w:r>
        <w:rPr>
          <w:sz w:val="40"/>
          <w:szCs w:val="40"/>
        </w:rPr>
        <w:fldChar w:fldCharType="separate"/>
      </w:r>
      <w:r w:rsidR="00AE6435">
        <w:rPr>
          <w:sz w:val="40"/>
          <w:szCs w:val="40"/>
        </w:rPr>
        <w:t xml:space="preserve">Ejendomsdataprogrammet </w:t>
      </w:r>
    </w:p>
    <w:p w:rsidR="0063718D" w:rsidRPr="00AC5579" w:rsidRDefault="00AE6435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Fælles strategi</w:t>
      </w:r>
      <w:r w:rsidR="00FD7A59">
        <w:rPr>
          <w:sz w:val="40"/>
          <w:szCs w:val="40"/>
        </w:rPr>
        <w:fldChar w:fldCharType="end"/>
      </w:r>
      <w:r w:rsidR="00483FF2">
        <w:rPr>
          <w:sz w:val="40"/>
          <w:szCs w:val="40"/>
        </w:rPr>
        <w:t xml:space="preserve"> for dataharmonisering</w:t>
      </w:r>
    </w:p>
    <w:p w:rsidR="00EF7920" w:rsidRDefault="00EF7920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024857" w:rsidRDefault="00024857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EF7920" w:rsidRPr="00F3374A" w:rsidRDefault="00251EF5" w:rsidP="00EF7920">
      <w:pPr>
        <w:pStyle w:val="Brdtekst"/>
      </w:pPr>
      <w:r w:rsidRPr="00F3374A">
        <w:t>MBBL-</w:t>
      </w:r>
      <w:r w:rsidR="00F506D4" w:rsidRPr="00F3374A">
        <w:t>ref.</w:t>
      </w:r>
      <w:r w:rsidRPr="00F3374A">
        <w:t>:</w:t>
      </w:r>
      <w:r w:rsidR="00F506D4" w:rsidRPr="00F3374A">
        <w:tab/>
        <w:t xml:space="preserve">GST-ref.: </w:t>
      </w:r>
      <w:r w:rsidR="002F5CE3" w:rsidRPr="00F3374A">
        <w:tab/>
        <w:t xml:space="preserve">TLR-ref.: </w:t>
      </w:r>
    </w:p>
    <w:p w:rsidR="002144DF" w:rsidRPr="00F3374A" w:rsidRDefault="002144DF" w:rsidP="00F87B4D">
      <w:pPr>
        <w:pStyle w:val="Brdtekst"/>
      </w:pPr>
    </w:p>
    <w:p w:rsidR="004F5434" w:rsidRPr="00F3374A" w:rsidRDefault="004F5434" w:rsidP="00F87B4D">
      <w:pPr>
        <w:pStyle w:val="Brdtekst"/>
      </w:pPr>
    </w:p>
    <w:p w:rsidR="00EF7920" w:rsidRPr="00F3374A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r w:rsidR="009364AD">
        <w:t>0.2</w:t>
      </w:r>
    </w:p>
    <w:p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FD7A59">
        <w:t>Udkast</w:t>
      </w:r>
    </w:p>
    <w:p w:rsidR="007050C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1C34A4">
        <w:rPr>
          <w:noProof/>
        </w:rPr>
        <w:t>31. maj 2013</w:t>
      </w:r>
      <w:r w:rsidR="003A0904" w:rsidRPr="00AC5579">
        <w:fldChar w:fldCharType="end"/>
      </w:r>
    </w:p>
    <w:p w:rsidR="00483FF2" w:rsidRPr="00AC5579" w:rsidRDefault="00483FF2" w:rsidP="007050C9">
      <w:pPr>
        <w:pStyle w:val="Brdtekst"/>
      </w:pP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  <w:jc w:val="center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9364AD" w:rsidP="00483FF2">
            <w:pPr>
              <w:pStyle w:val="BrdtekstTabel"/>
              <w:jc w:val="center"/>
            </w:pPr>
            <w:r>
              <w:t>22</w:t>
            </w:r>
            <w:r w:rsidR="00483FF2">
              <w:t>-</w:t>
            </w:r>
            <w:r w:rsidR="006D18BC">
              <w:t>0</w:t>
            </w:r>
            <w:r w:rsidR="00483FF2">
              <w:t>5-</w:t>
            </w:r>
            <w:r w:rsidR="006D18BC">
              <w:t>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D82F8A">
            <w:pPr>
              <w:pStyle w:val="BrdtekstTabel"/>
            </w:pPr>
            <w:r>
              <w:t>Grundskabelon oprettet med de</w:t>
            </w:r>
            <w:r w:rsidR="00D82F8A">
              <w:t>r</w:t>
            </w:r>
            <w:r>
              <w:t>til hørende afsnit.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63FE2" w:rsidP="00A256E5">
            <w:pPr>
              <w:pStyle w:val="BrdtekstTabel"/>
            </w:pPr>
            <w:r>
              <w:t>NPJ</w:t>
            </w:r>
          </w:p>
        </w:tc>
      </w:tr>
      <w:tr w:rsidR="00E16440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16440" w:rsidRDefault="00E16440" w:rsidP="00A256E5">
            <w:pPr>
              <w:pStyle w:val="BrdtekstTabel"/>
              <w:jc w:val="center"/>
            </w:pPr>
            <w:r>
              <w:t>0.2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16440" w:rsidRDefault="00483FF2" w:rsidP="009364AD">
            <w:pPr>
              <w:pStyle w:val="BrdtekstTabel"/>
              <w:jc w:val="center"/>
            </w:pPr>
            <w:r>
              <w:t>2</w:t>
            </w:r>
            <w:r w:rsidR="009364AD">
              <w:t>3</w:t>
            </w:r>
            <w:r w:rsidR="00E16440">
              <w:t>-05-2013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16440" w:rsidRDefault="00663FE2" w:rsidP="00483FF2">
            <w:pPr>
              <w:pStyle w:val="BrdtekstTabel"/>
            </w:pPr>
            <w:r>
              <w:t>Indhold redigeret og tilføjet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64AD" w:rsidRDefault="00663FE2" w:rsidP="00A256E5">
            <w:pPr>
              <w:pStyle w:val="BrdtekstTabel"/>
            </w:pPr>
            <w:r>
              <w:t>NPJ</w:t>
            </w: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8" w:name="_Toc55190626"/>
    <w:bookmarkEnd w:id="0"/>
    <w:p w:rsidR="009364AD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57071796" w:history="1">
        <w:r w:rsidR="009364AD" w:rsidRPr="00B93C49">
          <w:rPr>
            <w:rStyle w:val="Hyperlink"/>
            <w:noProof/>
          </w:rPr>
          <w:t>1.</w:t>
        </w:r>
        <w:r w:rsidR="009364A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364AD" w:rsidRPr="00B93C49">
          <w:rPr>
            <w:rStyle w:val="Hyperlink"/>
            <w:noProof/>
          </w:rPr>
          <w:t>Indledning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_Toc357071796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3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7071797" w:history="1">
        <w:r w:rsidR="009364AD" w:rsidRPr="00B93C49">
          <w:rPr>
            <w:rStyle w:val="Hyperlink"/>
            <w:noProof/>
          </w:rPr>
          <w:t>1.1</w:t>
        </w:r>
        <w:r w:rsidR="009364A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Dokumentets formål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_Toc357071797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3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7071798" w:history="1">
        <w:r w:rsidR="009364AD" w:rsidRPr="00B93C49">
          <w:rPr>
            <w:rStyle w:val="Hyperlink"/>
            <w:noProof/>
          </w:rPr>
          <w:t>1.2</w:t>
        </w:r>
        <w:r w:rsidR="009364A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Afgrænsning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_Toc357071798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3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7071799" w:history="1">
        <w:r w:rsidR="009364AD" w:rsidRPr="00B93C49">
          <w:rPr>
            <w:rStyle w:val="Hyperlink"/>
            <w:noProof/>
          </w:rPr>
          <w:t>2.</w:t>
        </w:r>
        <w:r w:rsidR="009364A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364AD" w:rsidRPr="00B93C49">
          <w:rPr>
            <w:rStyle w:val="Hyperlink"/>
            <w:noProof/>
          </w:rPr>
          <w:t>Overordnet strategi for dataharmonisering og migrering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_Toc357071799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4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7071800" w:history="1">
        <w:r w:rsidR="009364AD" w:rsidRPr="00B93C49">
          <w:rPr>
            <w:rStyle w:val="Hyperlink"/>
            <w:noProof/>
          </w:rPr>
          <w:t>2.1</w:t>
        </w:r>
        <w:r w:rsidR="009364A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Hovedprincipper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_Toc357071800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4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01" w:history="1">
        <w:r w:rsidR="009364AD" w:rsidRPr="00B93C49">
          <w:rPr>
            <w:rStyle w:val="Hyperlink"/>
            <w:noProof/>
          </w:rPr>
          <w:t>2.1.1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Strategien udvikles med udgangspunkt i pilotprojekt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_Toc357071801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4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02" w:history="1">
        <w:r w:rsidR="009364AD" w:rsidRPr="00B93C49">
          <w:rPr>
            <w:rStyle w:val="Hyperlink"/>
            <w:noProof/>
          </w:rPr>
          <w:t>2.1.2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Fejlretning i kilderegistrene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_Toc357071802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4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03" w:history="1">
        <w:r w:rsidR="009364AD" w:rsidRPr="00B93C49">
          <w:rPr>
            <w:rStyle w:val="Hyperlink"/>
            <w:bCs/>
            <w:noProof/>
          </w:rPr>
          <w:t>2.1.3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Forudsætninger</w:t>
        </w:r>
        <w:r w:rsidR="009364AD" w:rsidRPr="00B93C49">
          <w:rPr>
            <w:rStyle w:val="Hyperlink"/>
            <w:bCs/>
            <w:noProof/>
          </w:rPr>
          <w:t xml:space="preserve"> inden datavask påbegyndes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_Toc357071803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5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7071804" w:history="1">
        <w:r w:rsidR="009364AD" w:rsidRPr="00B93C49">
          <w:rPr>
            <w:rStyle w:val="Hyperlink"/>
            <w:noProof/>
          </w:rPr>
          <w:t>2.2</w:t>
        </w:r>
        <w:r w:rsidR="009364A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Øvrige principper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_Toc357071804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5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7071805" w:history="1">
        <w:r w:rsidR="009364AD" w:rsidRPr="00B93C49">
          <w:rPr>
            <w:rStyle w:val="Hyperlink"/>
            <w:bCs/>
            <w:noProof/>
          </w:rPr>
          <w:t>2.3</w:t>
        </w:r>
        <w:r w:rsidR="009364A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364AD" w:rsidRPr="00B93C49">
          <w:rPr>
            <w:rStyle w:val="Hyperlink"/>
            <w:bCs/>
            <w:noProof/>
          </w:rPr>
          <w:t>Datavask og datamigrering (ESR og eTL)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_Toc357071805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5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06" w:history="1">
        <w:r w:rsidR="009364AD" w:rsidRPr="00B93C49">
          <w:rPr>
            <w:rStyle w:val="Hyperlink"/>
            <w:bCs/>
            <w:noProof/>
          </w:rPr>
          <w:t>2.3.1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Ejendomme</w:t>
        </w:r>
        <w:r w:rsidR="009364AD" w:rsidRPr="00B93C49">
          <w:rPr>
            <w:rStyle w:val="Hyperlink"/>
            <w:bCs/>
            <w:noProof/>
          </w:rPr>
          <w:t>, som indbefatter grund/jordstykke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_Toc357071806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5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07" w:history="1">
        <w:r w:rsidR="009364AD" w:rsidRPr="00B93C49">
          <w:rPr>
            <w:rStyle w:val="Hyperlink"/>
            <w:bCs/>
            <w:noProof/>
          </w:rPr>
          <w:t>2.3.2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bCs/>
            <w:noProof/>
          </w:rPr>
          <w:t>Ejerlejligheder og relation til disses moderejendomme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_Toc357071807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6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08" w:history="1">
        <w:r w:rsidR="009364AD" w:rsidRPr="00B93C49">
          <w:rPr>
            <w:rStyle w:val="Hyperlink"/>
            <w:bCs/>
            <w:noProof/>
          </w:rPr>
          <w:t>2.3.3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bCs/>
            <w:noProof/>
          </w:rPr>
          <w:t>Bygning på fremmed grund (BFG)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_Toc357071808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6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7071809" w:history="1">
        <w:r w:rsidR="009364AD" w:rsidRPr="00B93C49">
          <w:rPr>
            <w:rStyle w:val="Hyperlink"/>
            <w:noProof/>
          </w:rPr>
          <w:t>3.</w:t>
        </w:r>
        <w:r w:rsidR="009364A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364AD" w:rsidRPr="00B93C49">
          <w:rPr>
            <w:rStyle w:val="Hyperlink"/>
            <w:noProof/>
          </w:rPr>
          <w:t>Organisering og kommunikation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_Toc357071809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7071810" w:history="1">
        <w:r w:rsidR="009364AD" w:rsidRPr="00B93C49">
          <w:rPr>
            <w:rStyle w:val="Hyperlink"/>
            <w:noProof/>
          </w:rPr>
          <w:t>3.1</w:t>
        </w:r>
        <w:r w:rsidR="009364A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Overordnet organisering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_Toc357071810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7071811" w:history="1">
        <w:r w:rsidR="009364AD" w:rsidRPr="00B93C49">
          <w:rPr>
            <w:rStyle w:val="Hyperlink"/>
            <w:noProof/>
          </w:rPr>
          <w:t>3.2</w:t>
        </w:r>
        <w:r w:rsidR="009364AD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Afrapportering af pilotprojekt (færdiggøres separat senere)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_Toc357071811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12" w:history="1">
        <w:r w:rsidR="009364AD" w:rsidRPr="00B93C49">
          <w:rPr>
            <w:rStyle w:val="Hyperlink"/>
            <w:noProof/>
          </w:rPr>
          <w:t>3.2.1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Analyse ejerlejligheder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_Toc357071812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13" w:history="1">
        <w:r w:rsidR="009364AD" w:rsidRPr="00B93C49">
          <w:rPr>
            <w:rStyle w:val="Hyperlink"/>
            <w:noProof/>
          </w:rPr>
          <w:t>3.2.2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Mulig migreringsplan (ejerlejligheder)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_Toc357071813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14" w:history="1">
        <w:r w:rsidR="009364AD" w:rsidRPr="00B93C49">
          <w:rPr>
            <w:rStyle w:val="Hyperlink"/>
            <w:noProof/>
          </w:rPr>
          <w:t>3.2.3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Analyse bygninger på fremmed grund i ESR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_Toc357071814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15" w:history="1">
        <w:r w:rsidR="009364AD" w:rsidRPr="00B93C49">
          <w:rPr>
            <w:rStyle w:val="Hyperlink"/>
            <w:noProof/>
          </w:rPr>
          <w:t>3.2.4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Mulig migreringsplan (bygninger på fremmed grund i ESR)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_Toc357071815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16" w:history="1">
        <w:r w:rsidR="009364AD" w:rsidRPr="00B93C49">
          <w:rPr>
            <w:rStyle w:val="Hyperlink"/>
            <w:noProof/>
          </w:rPr>
          <w:t>3.2.5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Analyse bygninger på fremmed grund i Tingbog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_Toc357071816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17" w:history="1">
        <w:r w:rsidR="009364AD" w:rsidRPr="00B93C49">
          <w:rPr>
            <w:rStyle w:val="Hyperlink"/>
            <w:noProof/>
          </w:rPr>
          <w:t>3.2.6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Identifikationsmuligheder (bygninger på fremmed grund i Tingbog)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_Toc357071817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9364AD" w:rsidRDefault="0081251C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7071818" w:history="1">
        <w:r w:rsidR="009364AD" w:rsidRPr="00B93C49">
          <w:rPr>
            <w:rStyle w:val="Hyperlink"/>
            <w:noProof/>
          </w:rPr>
          <w:t>3.2.7</w:t>
        </w:r>
        <w:r w:rsidR="009364AD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364AD" w:rsidRPr="00B93C49">
          <w:rPr>
            <w:rStyle w:val="Hyperlink"/>
            <w:noProof/>
          </w:rPr>
          <w:t>Eventuel lovgivningsbehov</w:t>
        </w:r>
        <w:r w:rsidR="009364AD">
          <w:rPr>
            <w:noProof/>
            <w:webHidden/>
          </w:rPr>
          <w:tab/>
        </w:r>
        <w:r w:rsidR="009364AD">
          <w:rPr>
            <w:noProof/>
            <w:webHidden/>
          </w:rPr>
          <w:fldChar w:fldCharType="begin"/>
        </w:r>
        <w:r w:rsidR="009364AD">
          <w:rPr>
            <w:noProof/>
            <w:webHidden/>
          </w:rPr>
          <w:instrText xml:space="preserve"> PAGEREF _Toc357071818 \h </w:instrText>
        </w:r>
        <w:r w:rsidR="009364AD">
          <w:rPr>
            <w:noProof/>
            <w:webHidden/>
          </w:rPr>
        </w:r>
        <w:r w:rsidR="009364AD">
          <w:rPr>
            <w:noProof/>
            <w:webHidden/>
          </w:rPr>
          <w:fldChar w:fldCharType="separate"/>
        </w:r>
        <w:r w:rsidR="00A1640D">
          <w:rPr>
            <w:noProof/>
            <w:webHidden/>
          </w:rPr>
          <w:t>8</w:t>
        </w:r>
        <w:r w:rsidR="009364AD"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57071796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3A0904">
      <w:pPr>
        <w:pStyle w:val="Overskrift2"/>
        <w:rPr>
          <w:lang w:val="da-DK"/>
        </w:rPr>
      </w:pPr>
      <w:bookmarkStart w:id="13" w:name="_Toc357071797"/>
      <w:r>
        <w:rPr>
          <w:lang w:val="da-DK"/>
        </w:rPr>
        <w:t>Dokumentets formål</w:t>
      </w:r>
      <w:bookmarkEnd w:id="13"/>
    </w:p>
    <w:p w:rsidR="00440EF7" w:rsidRDefault="00483FF2" w:rsidP="002C60AB">
      <w:r>
        <w:t>Den fælles s</w:t>
      </w:r>
      <w:r w:rsidR="00EC1D27" w:rsidRPr="00EC1D27">
        <w:t>trategi</w:t>
      </w:r>
      <w:r>
        <w:t xml:space="preserve"> for dataharmonisering </w:t>
      </w:r>
      <w:r w:rsidR="00EC1D27" w:rsidRPr="00EC1D27">
        <w:t>har til formål at sikre, at der i implementerings</w:t>
      </w:r>
      <w:r>
        <w:t>–</w:t>
      </w:r>
      <w:r w:rsidR="00EC1D27" w:rsidRPr="00EC1D27">
        <w:t>perioden</w:t>
      </w:r>
      <w:r w:rsidR="00EC1D27">
        <w:t xml:space="preserve"> gennemføres aktiviteter, såle</w:t>
      </w:r>
      <w:r w:rsidR="00EC1D27" w:rsidRPr="00EC1D27">
        <w:t>des at programmets samlede leverancer lever op til målsætningen om effektiv ejendomsregistrering og effektiv genbrug af ejendomsdata.</w:t>
      </w:r>
    </w:p>
    <w:p w:rsidR="002C49DF" w:rsidRDefault="002C60AB" w:rsidP="002C60AB">
      <w:pPr>
        <w:spacing w:before="120"/>
      </w:pPr>
      <w:r>
        <w:t>I</w:t>
      </w:r>
      <w:r w:rsidR="00487915">
        <w:t xml:space="preserve"> forhold til </w:t>
      </w:r>
      <w:r>
        <w:t>ejendomsdataprogrammet</w:t>
      </w:r>
      <w:r w:rsidR="00EC1D27" w:rsidRPr="00EC1D27">
        <w:t xml:space="preserve"> </w:t>
      </w:r>
      <w:r>
        <w:t xml:space="preserve">fastlægger den fælles </w:t>
      </w:r>
      <w:r w:rsidR="00F63B02">
        <w:t>strategi for dataharmonisering</w:t>
      </w:r>
      <w:r w:rsidR="00EC1D27" w:rsidRPr="00EC1D27">
        <w:t xml:space="preserve">, hvordan </w:t>
      </w:r>
      <w:r w:rsidR="00487915">
        <w:t xml:space="preserve">tilpasning af de hidtidige, forskellige ejendomsregistre </w:t>
      </w:r>
      <w:r w:rsidR="00F63B02">
        <w:t>mod det fælles ejendoms</w:t>
      </w:r>
      <w:r w:rsidR="00487915">
        <w:t>–</w:t>
      </w:r>
      <w:r w:rsidR="00F63B02">
        <w:t xml:space="preserve">begreb </w:t>
      </w:r>
      <w:r w:rsidR="00F63B02" w:rsidRPr="00F63B02">
        <w:rPr>
          <w:u w:val="single"/>
        </w:rPr>
        <w:t>B</w:t>
      </w:r>
      <w:r w:rsidR="00F63B02">
        <w:t xml:space="preserve">estemt </w:t>
      </w:r>
      <w:r w:rsidR="00F63B02" w:rsidRPr="00F63B02">
        <w:rPr>
          <w:u w:val="single"/>
        </w:rPr>
        <w:t>F</w:t>
      </w:r>
      <w:r w:rsidR="00F63B02">
        <w:t xml:space="preserve">ast </w:t>
      </w:r>
      <w:r w:rsidR="00F63B02" w:rsidRPr="00F63B02">
        <w:rPr>
          <w:u w:val="single"/>
        </w:rPr>
        <w:t>E</w:t>
      </w:r>
      <w:r w:rsidR="00F63B02">
        <w:t xml:space="preserve">jendom (BFE) kan gennemføres og kvalitetssikres. </w:t>
      </w:r>
      <w:r w:rsidR="002C49DF">
        <w:t xml:space="preserve">Der </w:t>
      </w:r>
      <w:r w:rsidR="00EC1D27" w:rsidRPr="00EC1D27">
        <w:t>sætte</w:t>
      </w:r>
      <w:r w:rsidR="002C49DF">
        <w:t>s</w:t>
      </w:r>
      <w:r>
        <w:t xml:space="preserve"> en forståelsesmæssig</w:t>
      </w:r>
      <w:r w:rsidR="00EC1D27" w:rsidRPr="00EC1D27">
        <w:t xml:space="preserve"> ramme for </w:t>
      </w:r>
      <w:r>
        <w:t>ejendomsdata</w:t>
      </w:r>
      <w:r w:rsidR="00EC1D27" w:rsidRPr="00EC1D27">
        <w:t xml:space="preserve">programmets </w:t>
      </w:r>
      <w:r w:rsidR="00F63B02">
        <w:t xml:space="preserve">dataharmonisering, herunder rammerne for, hvordan Matriklen som ejendomsregister kan danne grundlag for </w:t>
      </w:r>
      <w:proofErr w:type="spellStart"/>
      <w:r w:rsidR="00F63B02">
        <w:t>Ejerfortegnelsens</w:t>
      </w:r>
      <w:proofErr w:type="spellEnd"/>
      <w:r w:rsidR="00F63B02">
        <w:t xml:space="preserve"> </w:t>
      </w:r>
      <w:r w:rsidR="00487915">
        <w:t>registrering af ejendomsejer og administrator.</w:t>
      </w:r>
      <w:r w:rsidR="002C49DF">
        <w:t xml:space="preserve"> </w:t>
      </w:r>
    </w:p>
    <w:p w:rsidR="00B252B5" w:rsidRDefault="002C49DF" w:rsidP="002C60AB">
      <w:pPr>
        <w:spacing w:before="120"/>
      </w:pPr>
      <w:r>
        <w:t xml:space="preserve">Endelig skal der fastlægges plan for, hvordan og hvornår der skal tilvejebringes testdata i Matriklens fremtidige datastruktur til brug ved gennemførelse af </w:t>
      </w:r>
      <w:r w:rsidR="00E92B2E">
        <w:t xml:space="preserve">programmets </w:t>
      </w:r>
      <w:r>
        <w:t>teststrategi.</w:t>
      </w:r>
    </w:p>
    <w:p w:rsidR="00440EF7" w:rsidRDefault="002C60AB" w:rsidP="00440EF7">
      <w:pPr>
        <w:pStyle w:val="Overskrift2"/>
      </w:pPr>
      <w:bookmarkStart w:id="14" w:name="_Toc353539084"/>
      <w:bookmarkStart w:id="15" w:name="_Toc357071798"/>
      <w:r w:rsidRPr="002C60AB">
        <w:rPr>
          <w:lang w:val="da-DK"/>
        </w:rPr>
        <w:t>Afgrænsning</w:t>
      </w:r>
      <w:bookmarkEnd w:id="14"/>
      <w:bookmarkEnd w:id="15"/>
    </w:p>
    <w:p w:rsidR="00627A05" w:rsidRDefault="00627A05" w:rsidP="00E92B2E">
      <w:pPr>
        <w:spacing w:before="120"/>
      </w:pPr>
      <w:r>
        <w:t>Delprogram 1 (Effektiv ejendomsforvaltning og genbrug af ejendomsdata) og projektet: Udvidet matrikel, udarbejder og afleverer i fælleskab en strategi for dataharmonisering, jf. den fælles implementeringsplan.</w:t>
      </w:r>
    </w:p>
    <w:p w:rsidR="00627A05" w:rsidRDefault="00627A05" w:rsidP="00E92B2E">
      <w:pPr>
        <w:spacing w:before="120"/>
      </w:pPr>
      <w:r>
        <w:t>Datavaskstrategien formulerer</w:t>
      </w:r>
      <w:r w:rsidR="0087219E">
        <w:t xml:space="preserve"> principper for dataharmonisering og migrering og konkrete planer for</w:t>
      </w:r>
      <w:r>
        <w:t>, hv</w:t>
      </w:r>
      <w:r w:rsidR="0087219E">
        <w:t xml:space="preserve">ordan </w:t>
      </w:r>
      <w:r>
        <w:t>datavask</w:t>
      </w:r>
      <w:r w:rsidR="0087219E">
        <w:t xml:space="preserve">en/dataopretning </w:t>
      </w:r>
      <w:r>
        <w:t>skal gennemføres i forbindelse med delprogram 1, herunder hvem der definerer krav til datavask, hvem der faktisk foretager datavask/dataoprettelse i hvilke grundregistre, samt afhængigheder mellem datavask aktiviteter på tværs af delprogrammet, suppleret med nødvendige deadlines for de enkelte aktiviteter.</w:t>
      </w:r>
    </w:p>
    <w:p w:rsidR="00627A05" w:rsidRDefault="00627A05" w:rsidP="00E92B2E">
      <w:pPr>
        <w:spacing w:before="120"/>
      </w:pPr>
      <w:r>
        <w:t>Ansvaret for analyse, QA og afstemning ligger hos GST.</w:t>
      </w:r>
    </w:p>
    <w:p w:rsidR="00627A05" w:rsidRDefault="00627A05" w:rsidP="00E92B2E">
      <w:pPr>
        <w:spacing w:before="120"/>
      </w:pPr>
      <w:r>
        <w:t xml:space="preserve">Ansvaret for opretning af konstaterede fejl i data ligges hos den hidtidige registerfører. </w:t>
      </w:r>
    </w:p>
    <w:p w:rsidR="00B533BA" w:rsidRDefault="00627A05" w:rsidP="00E92B2E">
      <w:pPr>
        <w:spacing w:before="120"/>
      </w:pPr>
      <w:r>
        <w:t>Ansvaret for godkendelse af de endelige analyseresultater efter afsluttet fejlrettelse af de involverede registre ligger hos den pågældende registerejer og hos GST.</w:t>
      </w:r>
    </w:p>
    <w:p w:rsidR="00251EF5" w:rsidRDefault="00101E75" w:rsidP="00E92B2E">
      <w:pPr>
        <w:spacing w:before="120"/>
      </w:pPr>
      <w:r>
        <w:t>Ansvaret for</w:t>
      </w:r>
      <w:r w:rsidR="0087219E">
        <w:t>,</w:t>
      </w:r>
      <w:r w:rsidRPr="00312989">
        <w:t xml:space="preserve"> at </w:t>
      </w:r>
      <w:r>
        <w:t>ejendomsdata</w:t>
      </w:r>
      <w:r w:rsidRPr="00312989">
        <w:t xml:space="preserve">programmet </w:t>
      </w:r>
      <w:r>
        <w:t>opfylder den overordnede målsæt</w:t>
      </w:r>
      <w:r w:rsidRPr="00312989">
        <w:t>ning om ”</w:t>
      </w:r>
      <w:r w:rsidRPr="00E92B2E">
        <w:t>Effektiv ejendomsregistrering og effektiv genbrug af ejendomsdata</w:t>
      </w:r>
      <w:r>
        <w:t>” og at den nødvendige sammen</w:t>
      </w:r>
      <w:r w:rsidR="00E92B2E">
        <w:t>–</w:t>
      </w:r>
      <w:r>
        <w:t>hæng mellem de enkelte grunddatasystemer etableres</w:t>
      </w:r>
      <w:r w:rsidR="0087219E">
        <w:t>,</w:t>
      </w:r>
      <w:r>
        <w:t xml:space="preserve"> er placeret i ejendomsdataprogram</w:t>
      </w:r>
      <w:r w:rsidR="0087219E">
        <w:softHyphen/>
      </w:r>
      <w:r>
        <w:t xml:space="preserve">met og indgår </w:t>
      </w:r>
      <w:r w:rsidR="00DB48CE">
        <w:t>kun i</w:t>
      </w:r>
      <w:r>
        <w:t xml:space="preserve"> dette strategidokument </w:t>
      </w:r>
      <w:r w:rsidR="00DB48CE">
        <w:t xml:space="preserve">i forhold til </w:t>
      </w:r>
      <w:r>
        <w:t>opgaven med at levere tidlige testdata i Mat</w:t>
      </w:r>
      <w:r w:rsidR="00DB48CE">
        <w:t>riklens fremtidige datastruktur til det øvrige testmiljø.</w:t>
      </w:r>
    </w:p>
    <w:p w:rsidR="00251EF5" w:rsidRDefault="00251EF5" w:rsidP="00251EF5"/>
    <w:p w:rsidR="00CB1F0C" w:rsidRPr="00AC5579" w:rsidRDefault="006D18BC" w:rsidP="00251EF5">
      <w:pPr>
        <w:pStyle w:val="Overskrift1"/>
      </w:pPr>
      <w:bookmarkStart w:id="16" w:name="_Toc357071799"/>
      <w:r>
        <w:lastRenderedPageBreak/>
        <w:t xml:space="preserve">Overordnet </w:t>
      </w:r>
      <w:r w:rsidR="00F63B02">
        <w:t>strategi for dataharmonisering</w:t>
      </w:r>
      <w:r w:rsidR="006942BA">
        <w:t xml:space="preserve"> og migrering</w:t>
      </w:r>
      <w:bookmarkEnd w:id="16"/>
    </w:p>
    <w:p w:rsidR="006D18BC" w:rsidRDefault="006D18BC" w:rsidP="00E11C03">
      <w:pPr>
        <w:pStyle w:val="Overskrift2"/>
        <w:rPr>
          <w:lang w:val="da-DK"/>
        </w:rPr>
      </w:pPr>
      <w:bookmarkStart w:id="17" w:name="_Toc357071800"/>
      <w:r>
        <w:rPr>
          <w:lang w:val="da-DK"/>
        </w:rPr>
        <w:t>Hovedprincip</w:t>
      </w:r>
      <w:r w:rsidR="00024857">
        <w:rPr>
          <w:lang w:val="da-DK"/>
        </w:rPr>
        <w:t>per</w:t>
      </w:r>
      <w:bookmarkEnd w:id="17"/>
    </w:p>
    <w:p w:rsidR="00024857" w:rsidRDefault="005A6F30" w:rsidP="00024857">
      <w:pPr>
        <w:pStyle w:val="Overskrift3"/>
      </w:pPr>
      <w:bookmarkStart w:id="18" w:name="_Toc357071801"/>
      <w:r>
        <w:t>Strategien</w:t>
      </w:r>
      <w:r w:rsidR="00B252B5">
        <w:t xml:space="preserve"> udvikles med udgangspunkt i </w:t>
      </w:r>
      <w:r>
        <w:t>pilotprojekt</w:t>
      </w:r>
      <w:bookmarkEnd w:id="18"/>
    </w:p>
    <w:p w:rsidR="005A6F30" w:rsidRDefault="005A6F30" w:rsidP="005A6F30">
      <w:pPr>
        <w:spacing w:before="40" w:after="40"/>
        <w:jc w:val="left"/>
        <w:rPr>
          <w:bCs/>
        </w:rPr>
      </w:pPr>
      <w:r>
        <w:rPr>
          <w:bCs/>
        </w:rPr>
        <w:t>GST gennemfører i samarbejde med TLR et pilotprojekt i henhold til ’Kommissorium for pilotprojekt vedrørende datavask’ som blev godkendt på et styregruppemøde i GD1 den 6. marts 2013.</w:t>
      </w:r>
    </w:p>
    <w:p w:rsidR="005A6F30" w:rsidRDefault="005A6F30" w:rsidP="005A6F30">
      <w:pPr>
        <w:spacing w:before="40" w:after="40"/>
        <w:jc w:val="left"/>
        <w:rPr>
          <w:bCs/>
        </w:rPr>
      </w:pPr>
      <w:r>
        <w:rPr>
          <w:bCs/>
        </w:rPr>
        <w:t>Pilotprojektet gennemføres på ’frosne’, landsdækkende dataudtræk modtaget i GST den 14. marts 2013.</w:t>
      </w:r>
    </w:p>
    <w:p w:rsidR="00B252B5" w:rsidRDefault="005A6F30" w:rsidP="005A6F30">
      <w:pPr>
        <w:spacing w:before="40" w:after="40"/>
        <w:jc w:val="left"/>
      </w:pPr>
      <w:r>
        <w:rPr>
          <w:bCs/>
        </w:rPr>
        <w:t>Pilotprojektets formål er at belyse omfang, kompleksitet og mulige metodevalg ved den efterfølgende datavaskopgave</w:t>
      </w:r>
      <w:r w:rsidR="00375389">
        <w:rPr>
          <w:bCs/>
        </w:rPr>
        <w:t>. Resultaterne af pilotprojektet danner baggrund for udvikling af en fælles strategi for dataharmonisering og migrering</w:t>
      </w:r>
      <w:r>
        <w:rPr>
          <w:bCs/>
        </w:rPr>
        <w:t>. Udgangspunktet for pilotprojektet er analyser af sammenstillede landsdækkende udtræk af de fire registre Tingbog (kun stamdata), ESR (via OIS og dermed uden tinglyste fordelingstal), BBR-Ejerskab (via OIS) og Matriklen</w:t>
      </w:r>
      <w:r w:rsidR="002C49DF">
        <w:t>.</w:t>
      </w:r>
    </w:p>
    <w:p w:rsidR="00DB48CE" w:rsidRDefault="00DB48CE" w:rsidP="005A6F30">
      <w:pPr>
        <w:spacing w:before="40" w:after="40"/>
        <w:jc w:val="left"/>
      </w:pPr>
      <w:r>
        <w:t xml:space="preserve">Pilotprojektet er igangværende og endnu ikke afrapporteret. </w:t>
      </w:r>
    </w:p>
    <w:p w:rsidR="00DB5DD3" w:rsidRDefault="00DB48CE" w:rsidP="005A6F30">
      <w:pPr>
        <w:spacing w:before="40" w:after="40"/>
        <w:jc w:val="left"/>
      </w:pPr>
      <w:r>
        <w:t xml:space="preserve">Foreløbige resultater indikerer, </w:t>
      </w:r>
    </w:p>
    <w:p w:rsidR="00DB48CE" w:rsidRDefault="00DB48CE" w:rsidP="00F70EAA">
      <w:pPr>
        <w:pStyle w:val="Listeafsnit"/>
        <w:numPr>
          <w:ilvl w:val="0"/>
          <w:numId w:val="8"/>
        </w:numPr>
        <w:spacing w:before="40" w:after="40"/>
        <w:jc w:val="left"/>
      </w:pPr>
      <w:r>
        <w:t xml:space="preserve">at GST kan gennemføre de for dataharmoniseringen nødvendige analyser vedrørende ejerlejligheder </w:t>
      </w:r>
      <w:r w:rsidR="00DB5DD3">
        <w:t>i en intern proces</w:t>
      </w:r>
    </w:p>
    <w:p w:rsidR="00DB5DD3" w:rsidRDefault="00DB5DD3" w:rsidP="00F70EAA">
      <w:pPr>
        <w:pStyle w:val="Listeafsnit"/>
        <w:numPr>
          <w:ilvl w:val="0"/>
          <w:numId w:val="8"/>
        </w:numPr>
        <w:spacing w:before="40" w:after="40"/>
        <w:jc w:val="left"/>
      </w:pPr>
      <w:r>
        <w:t>at data vedrørende ejerlejligheder og disses moderejendomme kan migreres fra Tingbogen efter endt fejlretning mv.</w:t>
      </w:r>
    </w:p>
    <w:p w:rsidR="00DB5DD3" w:rsidRDefault="00DB5DD3" w:rsidP="00F70EAA">
      <w:pPr>
        <w:pStyle w:val="Listeafsnit"/>
        <w:numPr>
          <w:ilvl w:val="0"/>
          <w:numId w:val="8"/>
        </w:numPr>
        <w:spacing w:before="40" w:after="40"/>
        <w:jc w:val="left"/>
      </w:pPr>
      <w:r>
        <w:t>at GST kan gennemføre størstedelen af de for dataharmoniseringen nødvendige analyser vedrørende bygninger på fremmed grund i en intern proces</w:t>
      </w:r>
    </w:p>
    <w:p w:rsidR="00DB5DD3" w:rsidRDefault="00DB5DD3" w:rsidP="00F70EAA">
      <w:pPr>
        <w:pStyle w:val="Listeafsnit"/>
        <w:numPr>
          <w:ilvl w:val="0"/>
          <w:numId w:val="8"/>
        </w:numPr>
        <w:spacing w:before="40" w:after="40"/>
        <w:jc w:val="left"/>
      </w:pPr>
      <w:r>
        <w:t>at bestanden af bygninger på fremmed grund i ESR (53.000 – 55.000 bygninger) efter endt fejlretning mv. kan migreres</w:t>
      </w:r>
    </w:p>
    <w:p w:rsidR="00DB5DD3" w:rsidRDefault="00DB5DD3" w:rsidP="00F70EAA">
      <w:pPr>
        <w:pStyle w:val="Listeafsnit"/>
        <w:numPr>
          <w:ilvl w:val="0"/>
          <w:numId w:val="8"/>
        </w:numPr>
        <w:spacing w:before="40" w:after="40"/>
        <w:jc w:val="left"/>
      </w:pPr>
      <w:r>
        <w:t xml:space="preserve">at bestanden af bygninger på fremmed grund i Tingbogen </w:t>
      </w:r>
      <w:r w:rsidR="00FD7B7B">
        <w:t>(</w:t>
      </w:r>
      <w:r w:rsidR="00251EF5">
        <w:t xml:space="preserve">formentlig </w:t>
      </w:r>
      <w:r w:rsidR="00FD7B7B">
        <w:t xml:space="preserve">ca. 29.000 </w:t>
      </w:r>
      <w:proofErr w:type="spellStart"/>
      <w:r w:rsidR="00FD7B7B">
        <w:t>byg.nre</w:t>
      </w:r>
      <w:proofErr w:type="spellEnd"/>
      <w:r w:rsidR="00FD7B7B">
        <w:t>.) først efter nærmere analyse kan identificeres og migreres. Det vil være nødvendigt at søge match på ejer</w:t>
      </w:r>
      <w:r w:rsidR="00251EF5">
        <w:t>. For en restgruppe vil det blive nødvendigt at forsøge identifikation/stedfæs</w:t>
      </w:r>
      <w:r w:rsidR="0087219E">
        <w:softHyphen/>
      </w:r>
      <w:r w:rsidR="00251EF5">
        <w:t>telse i en manuel proces</w:t>
      </w:r>
      <w:r w:rsidR="0087219E">
        <w:t>, som forventes gennemført i samarbejde med beliggenhedskom</w:t>
      </w:r>
      <w:r w:rsidR="0087219E">
        <w:softHyphen/>
        <w:t>munen og TLR</w:t>
      </w:r>
      <w:r w:rsidR="00251EF5">
        <w:t>. Såfremt der herefter fortsat består en restgruppe, må der søges tilvejebragt lovhjemmel til at afvise tinglysning af rettigheder i disse bygninger indtil fornøden identifikation og stedfæstelse har fundet sted.</w:t>
      </w:r>
    </w:p>
    <w:p w:rsidR="00DB48CE" w:rsidRPr="00DB48CE" w:rsidRDefault="00375389" w:rsidP="00DB48CE">
      <w:pPr>
        <w:pStyle w:val="Overskrift3"/>
      </w:pPr>
      <w:bookmarkStart w:id="19" w:name="_Toc357071802"/>
      <w:r>
        <w:t>Fejlretning i kilderegistrene</w:t>
      </w:r>
      <w:bookmarkEnd w:id="19"/>
    </w:p>
    <w:p w:rsidR="00375389" w:rsidRDefault="00375389" w:rsidP="00375389">
      <w:r>
        <w:t>D</w:t>
      </w:r>
      <w:r w:rsidRPr="006942BA">
        <w:t xml:space="preserve">ataharmoniseringen </w:t>
      </w:r>
      <w:r>
        <w:t xml:space="preserve">baseres </w:t>
      </w:r>
      <w:r w:rsidRPr="006942BA">
        <w:t xml:space="preserve">på </w:t>
      </w:r>
      <w:r>
        <w:t xml:space="preserve">analyser og </w:t>
      </w:r>
      <w:r w:rsidRPr="006942BA">
        <w:t>fejlretning i de hidtidige kilderegistre</w:t>
      </w:r>
      <w:r>
        <w:t>,</w:t>
      </w:r>
      <w:r w:rsidRPr="006942BA">
        <w:t xml:space="preserve"> efter at disse er tilføjet fælles ejendomsidentifikation</w:t>
      </w:r>
      <w:r>
        <w:t xml:space="preserve"> (BFE-nr.)</w:t>
      </w:r>
      <w:r w:rsidRPr="006942BA">
        <w:t xml:space="preserve">.  Herved opnås en høj grad af sikkerhed for opretholdelse af synkroniserede grunddata på skæringsdatoen i 2015, når </w:t>
      </w:r>
      <w:r>
        <w:t xml:space="preserve">data </w:t>
      </w:r>
      <w:r w:rsidRPr="006942BA">
        <w:t>overføres til fremtidig drift i Matriklen. Samtidig sikres den for historikken nødvendige sporbarhed i ændringsdata</w:t>
      </w:r>
      <w:r>
        <w:t xml:space="preserve"> omkring migreringstidspunktet.</w:t>
      </w:r>
    </w:p>
    <w:p w:rsidR="00676BBC" w:rsidRPr="00454735" w:rsidRDefault="00676BBC" w:rsidP="00676BBC">
      <w:pPr>
        <w:pStyle w:val="Overskrift3"/>
        <w:rPr>
          <w:bCs/>
        </w:rPr>
      </w:pPr>
      <w:bookmarkStart w:id="20" w:name="_Toc357071803"/>
      <w:r w:rsidRPr="00676BBC">
        <w:lastRenderedPageBreak/>
        <w:t>Forudsætninger</w:t>
      </w:r>
      <w:r w:rsidRPr="00454735">
        <w:rPr>
          <w:bCs/>
        </w:rPr>
        <w:t xml:space="preserve"> inden datavask påbegyndes</w:t>
      </w:r>
      <w:bookmarkEnd w:id="20"/>
    </w:p>
    <w:p w:rsidR="00676BBC" w:rsidRDefault="00676BBC" w:rsidP="00F70EAA">
      <w:pPr>
        <w:numPr>
          <w:ilvl w:val="0"/>
          <w:numId w:val="12"/>
        </w:numPr>
        <w:spacing w:before="120"/>
      </w:pPr>
      <w:r w:rsidRPr="00454735">
        <w:t>Ny datamodel for ejendoms-/bygningsdomænet (konsolideret version</w:t>
      </w:r>
      <w:r>
        <w:t xml:space="preserve"> skal foreligge</w:t>
      </w:r>
      <w:r w:rsidRPr="00454735">
        <w:t>)</w:t>
      </w:r>
    </w:p>
    <w:p w:rsidR="00676BBC" w:rsidRDefault="00676BBC" w:rsidP="00F70EAA">
      <w:pPr>
        <w:numPr>
          <w:ilvl w:val="0"/>
          <w:numId w:val="12"/>
        </w:numPr>
        <w:spacing w:before="120"/>
      </w:pPr>
      <w:r w:rsidRPr="00454735">
        <w:t>Implementering af nye ejendomsnøgler</w:t>
      </w:r>
      <w:r>
        <w:t xml:space="preserve"> </w:t>
      </w:r>
      <w:r w:rsidRPr="00454735">
        <w:t>(BFE-nr. og e-REF) i eksisterende registre: Matrikel, Tingbog, ESR/BBR og OIS.</w:t>
      </w:r>
      <w:r>
        <w:t xml:space="preserve"> </w:t>
      </w:r>
      <w:r w:rsidRPr="00454735">
        <w:t xml:space="preserve">I pilotprojektet har det </w:t>
      </w:r>
      <w:r w:rsidR="00C57A24">
        <w:t xml:space="preserve">dog </w:t>
      </w:r>
      <w:r w:rsidRPr="00454735">
        <w:t xml:space="preserve">vist sig </w:t>
      </w:r>
      <w:r>
        <w:t>muligt</w:t>
      </w:r>
      <w:r w:rsidRPr="00454735">
        <w:t xml:space="preserve"> </w:t>
      </w:r>
      <w:r>
        <w:t xml:space="preserve">i ESR-udtræk at </w:t>
      </w:r>
      <w:r w:rsidR="00C57A24">
        <w:t xml:space="preserve">anvende unik </w:t>
      </w:r>
      <w:proofErr w:type="spellStart"/>
      <w:r w:rsidR="00C57A24">
        <w:t>ident</w:t>
      </w:r>
      <w:proofErr w:type="spellEnd"/>
      <w:r w:rsidR="00C57A24">
        <w:t xml:space="preserve">: </w:t>
      </w:r>
      <w:r>
        <w:t>’</w:t>
      </w:r>
      <w:proofErr w:type="spellStart"/>
      <w:r>
        <w:t>KomEjdNr</w:t>
      </w:r>
      <w:proofErr w:type="spellEnd"/>
      <w:r>
        <w:t xml:space="preserve">’ = </w:t>
      </w:r>
      <w:r w:rsidRPr="00454735">
        <w:t>7-cifret ejendomsnummer suppleret med fora</w:t>
      </w:r>
      <w:r>
        <w:t>nstillet 3-cifret kommunekode</w:t>
      </w:r>
      <w:r w:rsidR="00C57A24">
        <w:t>. Derfor kan datavask påbegyndes før implemen</w:t>
      </w:r>
      <w:r w:rsidR="0087219E">
        <w:softHyphen/>
      </w:r>
      <w:r w:rsidR="00C57A24">
        <w:t xml:space="preserve">tering af </w:t>
      </w:r>
      <w:r w:rsidR="00C57A24" w:rsidRPr="00454735">
        <w:t>BFE-nr. og e-REF</w:t>
      </w:r>
      <w:r w:rsidR="0087219E">
        <w:t xml:space="preserve"> i kilderegistrene.</w:t>
      </w:r>
    </w:p>
    <w:p w:rsidR="00676BBC" w:rsidRPr="00454735" w:rsidRDefault="00676BBC" w:rsidP="00F70EAA">
      <w:pPr>
        <w:numPr>
          <w:ilvl w:val="0"/>
          <w:numId w:val="12"/>
        </w:numPr>
        <w:spacing w:before="120"/>
      </w:pPr>
      <w:r w:rsidRPr="00454735">
        <w:t>Implementering af ny procedure i GST: Nye ejendomme (SFE) og nye jordstykker tildeles BFE-nr</w:t>
      </w:r>
      <w:r>
        <w:t>.</w:t>
      </w:r>
      <w:r w:rsidRPr="00454735">
        <w:t xml:space="preserve"> og e</w:t>
      </w:r>
      <w:r>
        <w:t>-</w:t>
      </w:r>
      <w:r w:rsidRPr="00454735">
        <w:t xml:space="preserve">REF i forbindelse med registrering i Matriklen. Det skal </w:t>
      </w:r>
      <w:r>
        <w:t xml:space="preserve">desuden </w:t>
      </w:r>
      <w:r w:rsidRPr="00454735">
        <w:t>i sagen væ</w:t>
      </w:r>
      <w:r>
        <w:t xml:space="preserve">re oplyst, hvorvidt der findes bygning på fremmed grund </w:t>
      </w:r>
      <w:r w:rsidRPr="00454735">
        <w:t>på SFE</w:t>
      </w:r>
      <w:r>
        <w:t>-nummeret</w:t>
      </w:r>
      <w:r w:rsidRPr="00454735">
        <w:t>. Hvis Ja, skal der henvises til BFE-nr. for bygningen</w:t>
      </w:r>
    </w:p>
    <w:p w:rsidR="00676BBC" w:rsidRPr="00454735" w:rsidRDefault="00676BBC" w:rsidP="00F70EAA">
      <w:pPr>
        <w:numPr>
          <w:ilvl w:val="0"/>
          <w:numId w:val="12"/>
        </w:numPr>
        <w:spacing w:before="120"/>
      </w:pPr>
      <w:r w:rsidRPr="00454735">
        <w:t>Implementering af ny procedure i Tinglysningsretten: Nye ejerlejligheder og nye bygninger på fremmed grund tildeles BFE-nr. i forbindelse med registrering i Tingbogen.</w:t>
      </w:r>
      <w:r w:rsidR="001A535F">
        <w:t xml:space="preserve"> Der etableres samtidig entydig henvisning til moderejendommens BFE-nr.</w:t>
      </w:r>
    </w:p>
    <w:p w:rsidR="00676BBC" w:rsidRPr="00454735" w:rsidRDefault="00676BBC" w:rsidP="00F70EAA">
      <w:pPr>
        <w:numPr>
          <w:ilvl w:val="0"/>
          <w:numId w:val="12"/>
        </w:numPr>
        <w:spacing w:before="120"/>
      </w:pPr>
      <w:r w:rsidRPr="00454735">
        <w:t>Analyse af potentielle fejlkilder og udvikling af metoder til håndtering af alm. forekommende fejl</w:t>
      </w:r>
      <w:r w:rsidR="00524D2E">
        <w:t>. [Kan i et vist omfang ske som led i pilotprojektet]. F</w:t>
      </w:r>
      <w:r w:rsidRPr="00454735">
        <w:t>ejl uden for kategori håndteres individuelt.</w:t>
      </w:r>
    </w:p>
    <w:p w:rsidR="00676BBC" w:rsidRDefault="00676BBC" w:rsidP="00F70EAA">
      <w:pPr>
        <w:numPr>
          <w:ilvl w:val="0"/>
          <w:numId w:val="12"/>
        </w:numPr>
        <w:spacing w:before="120"/>
      </w:pPr>
      <w:r w:rsidRPr="00454735">
        <w:t xml:space="preserve">Design og implementering af en analysedatabase (Mellemlager) til brug for datavask. [I pilotprojektet er anvendt tabeller i </w:t>
      </w:r>
      <w:proofErr w:type="spellStart"/>
      <w:r w:rsidRPr="00454735">
        <w:t>Oracle</w:t>
      </w:r>
      <w:r w:rsidR="00524D2E">
        <w:t>database</w:t>
      </w:r>
      <w:proofErr w:type="spellEnd"/>
      <w:r w:rsidRPr="00454735">
        <w:t>, hvilket har vist sig anvendelig</w:t>
      </w:r>
      <w:r w:rsidR="00C57A24">
        <w:t>t</w:t>
      </w:r>
      <w:r w:rsidRPr="00454735">
        <w:t>]</w:t>
      </w:r>
    </w:p>
    <w:p w:rsidR="00676BBC" w:rsidRDefault="00524D2E" w:rsidP="00277121">
      <w:pPr>
        <w:numPr>
          <w:ilvl w:val="0"/>
          <w:numId w:val="12"/>
        </w:numPr>
        <w:spacing w:before="120"/>
      </w:pPr>
      <w:r>
        <w:t xml:space="preserve">Hvor </w:t>
      </w:r>
      <w:proofErr w:type="spellStart"/>
      <w:r w:rsidRPr="00454735">
        <w:t>ESR’s</w:t>
      </w:r>
      <w:proofErr w:type="spellEnd"/>
      <w:r w:rsidRPr="00454735">
        <w:t xml:space="preserve"> nøgle (</w:t>
      </w:r>
      <w:proofErr w:type="spellStart"/>
      <w:r w:rsidRPr="00454735">
        <w:t>KomEjdNr</w:t>
      </w:r>
      <w:proofErr w:type="spellEnd"/>
      <w:r w:rsidRPr="00454735">
        <w:t>.) for de enkelte ejerlejlighedsfællesskabers moderejendom</w:t>
      </w:r>
      <w:r>
        <w:t xml:space="preserve"> samstemmende med Tingbogens moderejendomme omfatter flere forskellige SFE-</w:t>
      </w:r>
      <w:proofErr w:type="spellStart"/>
      <w:r>
        <w:t>nre</w:t>
      </w:r>
      <w:proofErr w:type="spellEnd"/>
      <w:r>
        <w:t>. skal der gennemføres m</w:t>
      </w:r>
      <w:r w:rsidR="00F3374A">
        <w:t xml:space="preserve">atrikulær sammenlægning af </w:t>
      </w:r>
      <w:r>
        <w:t>disse. Dette kan ske på grundlag af resultaterne i pilotprojektet.</w:t>
      </w:r>
      <w:r w:rsidR="00F3374A">
        <w:t xml:space="preserve"> Projektet forudsættes afsluttet, før implementering af BFE-nr. til ejerlejligheder i Tingbogen.</w:t>
      </w:r>
      <w:r>
        <w:t xml:space="preserve"> Såfremt projektet igangsættes som led i pilotprojektet, skal det samtidig sikres, at TLR påser, at der ikke etableres nye ejerlejlighedsfællesskaber indeholdende flere forskellige SFE-</w:t>
      </w:r>
      <w:proofErr w:type="spellStart"/>
      <w:r>
        <w:t>nre</w:t>
      </w:r>
      <w:proofErr w:type="spellEnd"/>
      <w:r>
        <w:t>.</w:t>
      </w:r>
      <w:r w:rsidR="00277121">
        <w:t xml:space="preserve"> </w:t>
      </w:r>
    </w:p>
    <w:p w:rsidR="00454735" w:rsidRDefault="00454735" w:rsidP="00454735">
      <w:pPr>
        <w:pStyle w:val="Overskrift2"/>
      </w:pPr>
      <w:bookmarkStart w:id="21" w:name="_Toc357071804"/>
      <w:proofErr w:type="spellStart"/>
      <w:r>
        <w:t>Øvrige</w:t>
      </w:r>
      <w:proofErr w:type="spellEnd"/>
      <w:r>
        <w:t xml:space="preserve"> </w:t>
      </w:r>
      <w:proofErr w:type="spellStart"/>
      <w:r>
        <w:t>principper</w:t>
      </w:r>
      <w:bookmarkEnd w:id="21"/>
      <w:proofErr w:type="spellEnd"/>
    </w:p>
    <w:p w:rsidR="00454735" w:rsidRPr="00454735" w:rsidRDefault="00454735" w:rsidP="00F70EAA">
      <w:pPr>
        <w:numPr>
          <w:ilvl w:val="0"/>
          <w:numId w:val="11"/>
        </w:numPr>
        <w:spacing w:before="120"/>
      </w:pPr>
      <w:r w:rsidRPr="00454735">
        <w:t>Prioritér sikker drift i både udviklings- og migreringsprocessen.</w:t>
      </w:r>
    </w:p>
    <w:p w:rsidR="00454735" w:rsidRDefault="00454735" w:rsidP="00F70EAA">
      <w:pPr>
        <w:numPr>
          <w:ilvl w:val="0"/>
          <w:numId w:val="11"/>
        </w:numPr>
        <w:spacing w:before="120"/>
      </w:pPr>
      <w:r w:rsidRPr="00454735">
        <w:t>Datakvaliteten skal være kendt ved idriftsættelse</w:t>
      </w:r>
    </w:p>
    <w:p w:rsidR="00454735" w:rsidRPr="00454735" w:rsidRDefault="00454735" w:rsidP="00F70EAA">
      <w:pPr>
        <w:numPr>
          <w:ilvl w:val="0"/>
          <w:numId w:val="11"/>
        </w:numPr>
        <w:spacing w:before="120"/>
      </w:pPr>
      <w:r w:rsidRPr="00454735">
        <w:t>Gradvis forbedring af datakvaliteten i nuværende registre med følgende målsætning forud for migreringstidspunktet: Jordstykker er harmoniseret 100</w:t>
      </w:r>
      <w:r>
        <w:t xml:space="preserve"> </w:t>
      </w:r>
      <w:r w:rsidRPr="00454735">
        <w:t>%, ejerlejligheder er harmoniseret 98</w:t>
      </w:r>
      <w:r>
        <w:t xml:space="preserve"> </w:t>
      </w:r>
      <w:r w:rsidRPr="00454735">
        <w:t>%</w:t>
      </w:r>
      <w:r>
        <w:t>,</w:t>
      </w:r>
      <w:r w:rsidRPr="00454735">
        <w:t xml:space="preserve"> </w:t>
      </w:r>
      <w:r>
        <w:t xml:space="preserve">bygning på fremmed grund i ESR </w:t>
      </w:r>
      <w:r w:rsidRPr="00454735">
        <w:t xml:space="preserve">er harmoniseret </w:t>
      </w:r>
      <w:r>
        <w:t xml:space="preserve">98 </w:t>
      </w:r>
      <w:r w:rsidRPr="00454735">
        <w:t>%</w:t>
      </w:r>
      <w:r>
        <w:t xml:space="preserve"> og bygning på fremmed grund i Tingbog </w:t>
      </w:r>
      <w:r w:rsidRPr="00454735">
        <w:t xml:space="preserve">er harmoniseret </w:t>
      </w:r>
      <w:r>
        <w:t xml:space="preserve">85 </w:t>
      </w:r>
      <w:r w:rsidRPr="00454735">
        <w:t>%</w:t>
      </w:r>
    </w:p>
    <w:p w:rsidR="00454735" w:rsidRDefault="00454735" w:rsidP="00F70EAA">
      <w:pPr>
        <w:numPr>
          <w:ilvl w:val="0"/>
          <w:numId w:val="11"/>
        </w:numPr>
        <w:spacing w:before="120"/>
      </w:pPr>
      <w:r w:rsidRPr="00454735">
        <w:t>Successiv datavask, hvor kvaliteten forbedres gradvis</w:t>
      </w:r>
    </w:p>
    <w:p w:rsidR="00C57A24" w:rsidRPr="00C57A24" w:rsidRDefault="00C57A24" w:rsidP="00C57A24">
      <w:pPr>
        <w:pStyle w:val="Overskrift2"/>
        <w:rPr>
          <w:bCs/>
          <w:lang w:val="da-DK"/>
        </w:rPr>
      </w:pPr>
      <w:bookmarkStart w:id="22" w:name="_Toc357071805"/>
      <w:r w:rsidRPr="00C57A24">
        <w:rPr>
          <w:bCs/>
          <w:lang w:val="da-DK"/>
        </w:rPr>
        <w:t xml:space="preserve">Datavask og datamigrering (ESR og </w:t>
      </w:r>
      <w:proofErr w:type="spellStart"/>
      <w:r w:rsidRPr="00C57A24">
        <w:rPr>
          <w:bCs/>
          <w:lang w:val="da-DK"/>
        </w:rPr>
        <w:t>eTL</w:t>
      </w:r>
      <w:proofErr w:type="spellEnd"/>
      <w:r w:rsidRPr="00C57A24">
        <w:rPr>
          <w:bCs/>
          <w:lang w:val="da-DK"/>
        </w:rPr>
        <w:t>)</w:t>
      </w:r>
      <w:bookmarkEnd w:id="22"/>
    </w:p>
    <w:p w:rsidR="00454735" w:rsidRPr="00C57A24" w:rsidRDefault="00454735" w:rsidP="00C57A24">
      <w:pPr>
        <w:pStyle w:val="Overskrift3"/>
        <w:rPr>
          <w:bCs/>
        </w:rPr>
      </w:pPr>
      <w:bookmarkStart w:id="23" w:name="_Toc357071806"/>
      <w:r w:rsidRPr="00C57A24">
        <w:t>Ejendomme</w:t>
      </w:r>
      <w:r w:rsidRPr="00C57A24">
        <w:rPr>
          <w:bCs/>
        </w:rPr>
        <w:t>, som indbefatter grund/jordstykke</w:t>
      </w:r>
      <w:bookmarkEnd w:id="23"/>
    </w:p>
    <w:p w:rsidR="00454735" w:rsidRPr="00454735" w:rsidRDefault="00454735" w:rsidP="00F70EAA">
      <w:pPr>
        <w:numPr>
          <w:ilvl w:val="0"/>
          <w:numId w:val="9"/>
        </w:numPr>
        <w:spacing w:before="120"/>
      </w:pPr>
      <w:r w:rsidRPr="00454735">
        <w:t xml:space="preserve">Matrikeludtræk </w:t>
      </w:r>
      <w:r w:rsidR="008105CB">
        <w:t xml:space="preserve">(KMD) fra ESR med ESR-SFE-nr. og med eventuelle </w:t>
      </w:r>
      <w:r w:rsidRPr="00454735">
        <w:t>nye nøgler overføres til Mellemlager</w:t>
      </w:r>
    </w:p>
    <w:p w:rsidR="00454735" w:rsidRPr="00454735" w:rsidRDefault="00454735" w:rsidP="00F70EAA">
      <w:pPr>
        <w:numPr>
          <w:ilvl w:val="0"/>
          <w:numId w:val="9"/>
        </w:numPr>
        <w:spacing w:before="120"/>
      </w:pPr>
      <w:r w:rsidRPr="00454735">
        <w:lastRenderedPageBreak/>
        <w:t>Tingbogsudtræk: Ejendom og Ejer overføres til Mellemlager</w:t>
      </w:r>
      <w:r w:rsidR="008105CB">
        <w:t xml:space="preserve"> inkl. </w:t>
      </w:r>
      <w:proofErr w:type="spellStart"/>
      <w:r w:rsidR="008105CB">
        <w:t>eTL</w:t>
      </w:r>
      <w:proofErr w:type="spellEnd"/>
      <w:r w:rsidR="008105CB">
        <w:t>-SFE-nr.</w:t>
      </w:r>
      <w:r w:rsidR="00174A10">
        <w:t xml:space="preserve"> Ejere af ejerlejligheder kan formentlig udelades.</w:t>
      </w:r>
    </w:p>
    <w:p w:rsidR="00174A10" w:rsidRPr="00454735" w:rsidRDefault="00174A10" w:rsidP="00174A10">
      <w:pPr>
        <w:numPr>
          <w:ilvl w:val="0"/>
          <w:numId w:val="9"/>
        </w:numPr>
        <w:spacing w:before="120"/>
      </w:pPr>
      <w:r w:rsidRPr="00454735">
        <w:t>Mellemlagerets matrikel- og ESR-data samkøres.</w:t>
      </w:r>
      <w:r>
        <w:t xml:space="preserve"> Eventuelle fejl oprettes i respektive kilderegister.</w:t>
      </w:r>
    </w:p>
    <w:p w:rsidR="00454735" w:rsidRDefault="00454735" w:rsidP="00F70EAA">
      <w:pPr>
        <w:numPr>
          <w:ilvl w:val="0"/>
          <w:numId w:val="9"/>
        </w:numPr>
        <w:spacing w:before="120"/>
      </w:pPr>
      <w:r w:rsidRPr="00454735">
        <w:t>Mellemlagerets oplysninger om SFE og jordstykker overført fra Matriklen matches med de tilsvarende oplysninger fra Tingbogen.</w:t>
      </w:r>
      <w:r w:rsidR="00174A10">
        <w:t xml:space="preserve"> Fejl oprettes i respektive kilderegister.</w:t>
      </w:r>
    </w:p>
    <w:p w:rsidR="00174A10" w:rsidRPr="00454735" w:rsidRDefault="00174A10" w:rsidP="00F70EAA">
      <w:pPr>
        <w:numPr>
          <w:ilvl w:val="0"/>
          <w:numId w:val="9"/>
        </w:numPr>
        <w:spacing w:before="120"/>
      </w:pPr>
      <w:r>
        <w:t xml:space="preserve">Tingbogens </w:t>
      </w:r>
      <w:proofErr w:type="spellStart"/>
      <w:r>
        <w:t>ejendomtype</w:t>
      </w:r>
      <w:proofErr w:type="spellEnd"/>
      <w:r>
        <w:t xml:space="preserve"> ”Hovedejendom opdelt i ejerlejligheder” matches med SFE-</w:t>
      </w:r>
      <w:proofErr w:type="spellStart"/>
      <w:r>
        <w:t>nre</w:t>
      </w:r>
      <w:proofErr w:type="spellEnd"/>
      <w:r>
        <w:t xml:space="preserve">. henhørende under </w:t>
      </w:r>
      <w:proofErr w:type="spellStart"/>
      <w:r>
        <w:t>KomEjdNummer</w:t>
      </w:r>
      <w:proofErr w:type="spellEnd"/>
      <w:r>
        <w:t xml:space="preserve"> for moderejendomme i ESR. Fejl oprettes i respektive kilderegister.</w:t>
      </w:r>
    </w:p>
    <w:p w:rsidR="00454735" w:rsidRPr="00454735" w:rsidRDefault="00454735" w:rsidP="00F70EAA">
      <w:pPr>
        <w:numPr>
          <w:ilvl w:val="0"/>
          <w:numId w:val="9"/>
        </w:numPr>
        <w:spacing w:before="120"/>
      </w:pPr>
      <w:r w:rsidRPr="00454735">
        <w:t>Tingbogen opdateres med BFE-nr</w:t>
      </w:r>
      <w:r w:rsidR="00174A10">
        <w:t>.</w:t>
      </w:r>
      <w:r w:rsidRPr="00454735">
        <w:t xml:space="preserve"> og e-REF på ejendomme og jordstykker, som matcher Matriklens registrering af SFE-nr.</w:t>
      </w:r>
      <w:r w:rsidR="00174A10">
        <w:t xml:space="preserve"> </w:t>
      </w:r>
    </w:p>
    <w:p w:rsidR="008105CB" w:rsidRDefault="00454735" w:rsidP="00F70EAA">
      <w:pPr>
        <w:numPr>
          <w:ilvl w:val="0"/>
          <w:numId w:val="9"/>
        </w:numPr>
        <w:spacing w:before="120"/>
      </w:pPr>
      <w:r w:rsidRPr="00454735">
        <w:t>ESR/BBR opdateres med BFE-nr</w:t>
      </w:r>
      <w:r w:rsidR="00313E26">
        <w:t>.</w:t>
      </w:r>
      <w:r w:rsidRPr="00454735">
        <w:t xml:space="preserve"> og </w:t>
      </w:r>
      <w:proofErr w:type="spellStart"/>
      <w:r w:rsidRPr="00454735">
        <w:t>eREF</w:t>
      </w:r>
      <w:proofErr w:type="spellEnd"/>
      <w:r w:rsidRPr="00454735">
        <w:t xml:space="preserve"> på ejendomme og jordstykker, som matcher Matriklens registrering ved identifikation via SFE-nr. </w:t>
      </w:r>
    </w:p>
    <w:p w:rsidR="00454735" w:rsidRPr="00454735" w:rsidRDefault="00454735" w:rsidP="00F70EAA">
      <w:pPr>
        <w:numPr>
          <w:ilvl w:val="0"/>
          <w:numId w:val="9"/>
        </w:numPr>
        <w:spacing w:before="120"/>
      </w:pPr>
      <w:r w:rsidRPr="00454735">
        <w:t>Ikke matchede ejendomme/jordstykker håndteres individuelt</w:t>
      </w:r>
    </w:p>
    <w:p w:rsidR="00454735" w:rsidRPr="00454735" w:rsidRDefault="00454735" w:rsidP="008105CB">
      <w:pPr>
        <w:pStyle w:val="Overskrift3"/>
        <w:rPr>
          <w:bCs/>
        </w:rPr>
      </w:pPr>
      <w:bookmarkStart w:id="24" w:name="_Toc357071807"/>
      <w:r w:rsidRPr="00454735">
        <w:rPr>
          <w:bCs/>
        </w:rPr>
        <w:t>Ejerlejligheder</w:t>
      </w:r>
      <w:r w:rsidR="008105CB">
        <w:rPr>
          <w:bCs/>
        </w:rPr>
        <w:t xml:space="preserve"> og </w:t>
      </w:r>
      <w:r w:rsidR="00313E26">
        <w:rPr>
          <w:bCs/>
        </w:rPr>
        <w:t xml:space="preserve">relation til </w:t>
      </w:r>
      <w:r w:rsidR="008105CB">
        <w:rPr>
          <w:bCs/>
        </w:rPr>
        <w:t>disses moderejendomme</w:t>
      </w:r>
      <w:bookmarkEnd w:id="24"/>
    </w:p>
    <w:p w:rsidR="00454735" w:rsidRPr="00454735" w:rsidRDefault="00454735" w:rsidP="00F70EAA">
      <w:pPr>
        <w:numPr>
          <w:ilvl w:val="0"/>
          <w:numId w:val="10"/>
        </w:numPr>
        <w:spacing w:before="120"/>
      </w:pPr>
      <w:r w:rsidRPr="00454735">
        <w:t>Nye BFE-</w:t>
      </w:r>
      <w:proofErr w:type="spellStart"/>
      <w:r w:rsidRPr="00454735">
        <w:t>nre</w:t>
      </w:r>
      <w:proofErr w:type="spellEnd"/>
      <w:r w:rsidR="00727A35">
        <w:t>.</w:t>
      </w:r>
      <w:r w:rsidRPr="00454735">
        <w:t xml:space="preserve"> genereres og påføres eksisterende ejerlejligheder i Tingbogen</w:t>
      </w:r>
      <w:r w:rsidR="00F3374A">
        <w:t>. For hver ny BFE-nr. tilføjes henvisning til moderejendommens BFE-nr.</w:t>
      </w:r>
    </w:p>
    <w:p w:rsidR="00454735" w:rsidRPr="00454735" w:rsidRDefault="00454735" w:rsidP="00F70EAA">
      <w:pPr>
        <w:numPr>
          <w:ilvl w:val="0"/>
          <w:numId w:val="10"/>
        </w:numPr>
        <w:spacing w:before="120"/>
      </w:pPr>
      <w:r w:rsidRPr="00454735">
        <w:t>Tingbogsudtræk med BFE-nr</w:t>
      </w:r>
      <w:r w:rsidR="00F3374A">
        <w:t>.</w:t>
      </w:r>
      <w:r w:rsidR="00727A35">
        <w:t xml:space="preserve"> på </w:t>
      </w:r>
      <w:r w:rsidRPr="00454735">
        <w:t xml:space="preserve">Ejendom </w:t>
      </w:r>
      <w:r w:rsidR="00F3374A">
        <w:t>(</w:t>
      </w:r>
      <w:r w:rsidRPr="00454735">
        <w:t>og Ejer</w:t>
      </w:r>
      <w:r w:rsidR="00F3374A">
        <w:t>?)</w:t>
      </w:r>
      <w:r w:rsidRPr="00454735">
        <w:t xml:space="preserve"> overføres til Mellemlager</w:t>
      </w:r>
    </w:p>
    <w:p w:rsidR="00454735" w:rsidRPr="00454735" w:rsidRDefault="00454735" w:rsidP="00F70EAA">
      <w:pPr>
        <w:numPr>
          <w:ilvl w:val="0"/>
          <w:numId w:val="10"/>
        </w:numPr>
        <w:spacing w:before="120"/>
      </w:pPr>
      <w:r w:rsidRPr="00454735">
        <w:t>Matrikeludtræk (KMD-udtræk) overføres til Mellemlager</w:t>
      </w:r>
      <w:r w:rsidR="00F3374A">
        <w:t>.</w:t>
      </w:r>
    </w:p>
    <w:p w:rsidR="00454735" w:rsidRPr="00454735" w:rsidRDefault="00454735" w:rsidP="00F70EAA">
      <w:pPr>
        <w:numPr>
          <w:ilvl w:val="0"/>
          <w:numId w:val="10"/>
        </w:numPr>
        <w:spacing w:before="120"/>
      </w:pPr>
      <w:r w:rsidRPr="00454735">
        <w:t>ESR/BBR data (</w:t>
      </w:r>
      <w:r w:rsidR="00727A35">
        <w:t>KMD</w:t>
      </w:r>
      <w:r w:rsidRPr="00454735">
        <w:t>-udtræk) overføres til Mellemlager</w:t>
      </w:r>
    </w:p>
    <w:p w:rsidR="00313E26" w:rsidRDefault="00313E26" w:rsidP="00313E26">
      <w:pPr>
        <w:numPr>
          <w:ilvl w:val="0"/>
          <w:numId w:val="10"/>
        </w:numPr>
        <w:spacing w:before="120"/>
      </w:pPr>
      <w:r w:rsidRPr="00454735">
        <w:t>Mellemlagerets oplysninger om moderejendomme til ejerlejligheder overført fra Tingbogen matches med de korresponderende ejendomme fra Matriklen</w:t>
      </w:r>
      <w:r>
        <w:t xml:space="preserve">. Det sikres, at der ikke længere findes moderejendomme omfattende flere forskellige SFE-numre. </w:t>
      </w:r>
    </w:p>
    <w:p w:rsidR="00454735" w:rsidRPr="00454735" w:rsidRDefault="00454735" w:rsidP="00F70EAA">
      <w:pPr>
        <w:numPr>
          <w:ilvl w:val="0"/>
          <w:numId w:val="10"/>
        </w:numPr>
        <w:spacing w:before="120"/>
      </w:pPr>
      <w:r w:rsidRPr="00454735">
        <w:t>Mellemlagerets oplysninger om ejerlejligheder overført fra Tingbogen matches med de tilsvarende oplysninger fra ESR/BBR.</w:t>
      </w:r>
      <w:r w:rsidR="00313E26">
        <w:t xml:space="preserve"> Antal ejerlejligheder afstemmes – i første omgang totalt, fx pr. 1. oktober i forbindelse med den offentlige ejendomsvurdering og dernæst pr. moderejendom.</w:t>
      </w:r>
    </w:p>
    <w:p w:rsidR="00454735" w:rsidRPr="00454735" w:rsidRDefault="00454735" w:rsidP="00F70EAA">
      <w:pPr>
        <w:numPr>
          <w:ilvl w:val="0"/>
          <w:numId w:val="10"/>
        </w:numPr>
        <w:spacing w:before="120"/>
      </w:pPr>
      <w:r w:rsidRPr="00454735">
        <w:t>Håndtering og rettelse af alm. fejl i forhold til Matrikel, Tingbog, ESR og BBR.</w:t>
      </w:r>
    </w:p>
    <w:p w:rsidR="00454735" w:rsidRPr="00454735" w:rsidRDefault="00454735" w:rsidP="00F70EAA">
      <w:pPr>
        <w:numPr>
          <w:ilvl w:val="0"/>
          <w:numId w:val="10"/>
        </w:numPr>
        <w:spacing w:before="120"/>
      </w:pPr>
      <w:r w:rsidRPr="00454735">
        <w:t>ESR/BBR opdateres med BFE-nr</w:t>
      </w:r>
      <w:r w:rsidR="00313E26">
        <w:t>.</w:t>
      </w:r>
      <w:r w:rsidRPr="00454735">
        <w:t xml:space="preserve"> til ejerlejligheder, som matcher Tingbogens registreringer</w:t>
      </w:r>
      <w:r w:rsidR="00313E26">
        <w:t>.</w:t>
      </w:r>
    </w:p>
    <w:p w:rsidR="00454735" w:rsidRPr="00454735" w:rsidRDefault="00313E26" w:rsidP="00F70EAA">
      <w:pPr>
        <w:numPr>
          <w:ilvl w:val="0"/>
          <w:numId w:val="10"/>
        </w:numPr>
        <w:spacing w:before="120"/>
      </w:pPr>
      <w:r>
        <w:t xml:space="preserve">Uoverensstemmelser i ejerlejlighedernes data for ’tinglyst areal’, </w:t>
      </w:r>
      <w:r w:rsidR="005E3EF0">
        <w:t>’</w:t>
      </w:r>
      <w:r>
        <w:t>tinglyst fordelingstal-nævner</w:t>
      </w:r>
      <w:r w:rsidR="005E3EF0">
        <w:t>’</w:t>
      </w:r>
      <w:r>
        <w:t xml:space="preserve">, </w:t>
      </w:r>
      <w:r w:rsidR="005E3EF0">
        <w:t>’</w:t>
      </w:r>
      <w:r>
        <w:t>tinglyst fordelingstal-tæller</w:t>
      </w:r>
      <w:r w:rsidR="005E3EF0">
        <w:t>’</w:t>
      </w:r>
      <w:r>
        <w:t xml:space="preserve"> </w:t>
      </w:r>
      <w:r w:rsidR="00454735" w:rsidRPr="00454735">
        <w:t>håndteres individuelt</w:t>
      </w:r>
      <w:r w:rsidR="005E3EF0">
        <w:t xml:space="preserve"> og oprettes i kilderegistrene.</w:t>
      </w:r>
    </w:p>
    <w:p w:rsidR="00454735" w:rsidRPr="00454735" w:rsidRDefault="00454735" w:rsidP="004216CF">
      <w:pPr>
        <w:pStyle w:val="Overskrift3"/>
        <w:rPr>
          <w:bCs/>
        </w:rPr>
      </w:pPr>
      <w:bookmarkStart w:id="25" w:name="_Toc357071808"/>
      <w:r w:rsidRPr="00454735">
        <w:rPr>
          <w:bCs/>
        </w:rPr>
        <w:t>Bygning på fremmed grund (BFG)</w:t>
      </w:r>
      <w:bookmarkEnd w:id="25"/>
    </w:p>
    <w:p w:rsidR="00454735" w:rsidRPr="00454735" w:rsidRDefault="00454735" w:rsidP="00F70EAA">
      <w:pPr>
        <w:numPr>
          <w:ilvl w:val="1"/>
          <w:numId w:val="10"/>
        </w:numPr>
        <w:spacing w:before="120"/>
      </w:pPr>
      <w:r w:rsidRPr="00454735">
        <w:t>Nye BFE-</w:t>
      </w:r>
      <w:proofErr w:type="spellStart"/>
      <w:r w:rsidRPr="00454735">
        <w:t>nre</w:t>
      </w:r>
      <w:proofErr w:type="spellEnd"/>
      <w:r w:rsidR="005E3EF0">
        <w:t>.</w:t>
      </w:r>
      <w:r w:rsidRPr="00454735">
        <w:t xml:space="preserve"> genereres og påføres eksisterende</w:t>
      </w:r>
      <w:r w:rsidR="00BF0321">
        <w:t xml:space="preserve"> BFG i ESR</w:t>
      </w:r>
    </w:p>
    <w:p w:rsidR="00454735" w:rsidRPr="00454735" w:rsidRDefault="00454735" w:rsidP="00F70EAA">
      <w:pPr>
        <w:numPr>
          <w:ilvl w:val="1"/>
          <w:numId w:val="10"/>
        </w:numPr>
        <w:spacing w:before="120"/>
      </w:pPr>
      <w:r w:rsidRPr="00454735">
        <w:t xml:space="preserve">Tingbogsudtræk </w:t>
      </w:r>
      <w:r w:rsidR="00BF0321">
        <w:t xml:space="preserve">for BFG </w:t>
      </w:r>
      <w:r w:rsidRPr="00454735">
        <w:t>(inkl. bygn.nr.</w:t>
      </w:r>
      <w:r w:rsidR="004216CF">
        <w:t xml:space="preserve"> og henvisning </w:t>
      </w:r>
      <w:r w:rsidRPr="00454735">
        <w:t>til underliggende grund og Ejer overføres til Mellemlager</w:t>
      </w:r>
    </w:p>
    <w:p w:rsidR="00454735" w:rsidRPr="00454735" w:rsidRDefault="00454735" w:rsidP="00F70EAA">
      <w:pPr>
        <w:numPr>
          <w:ilvl w:val="1"/>
          <w:numId w:val="10"/>
        </w:numPr>
        <w:spacing w:before="120"/>
      </w:pPr>
      <w:r w:rsidRPr="00454735">
        <w:t>ESR/BBR data (</w:t>
      </w:r>
      <w:r w:rsidR="00BF0321">
        <w:t>KMD</w:t>
      </w:r>
      <w:r w:rsidRPr="00454735">
        <w:t xml:space="preserve">) overføres til Mellemlager (inkl. alle anvendelige </w:t>
      </w:r>
      <w:proofErr w:type="spellStart"/>
      <w:r w:rsidRPr="00454735">
        <w:t>identer</w:t>
      </w:r>
      <w:proofErr w:type="spellEnd"/>
      <w:r w:rsidR="00BF0321">
        <w:t xml:space="preserve"> og </w:t>
      </w:r>
      <w:proofErr w:type="spellStart"/>
      <w:r w:rsidR="00BF0321">
        <w:t>ejeroplysninger</w:t>
      </w:r>
      <w:proofErr w:type="spellEnd"/>
      <w:r w:rsidRPr="00454735">
        <w:t>)</w:t>
      </w:r>
    </w:p>
    <w:p w:rsidR="00454735" w:rsidRPr="00454735" w:rsidRDefault="00454735" w:rsidP="00F70EAA">
      <w:pPr>
        <w:numPr>
          <w:ilvl w:val="1"/>
          <w:numId w:val="10"/>
        </w:numPr>
        <w:spacing w:before="120"/>
      </w:pPr>
      <w:r w:rsidRPr="00454735">
        <w:lastRenderedPageBreak/>
        <w:t>Matrikeludtræk overføres til Mellemlager</w:t>
      </w:r>
    </w:p>
    <w:p w:rsidR="00BF0321" w:rsidRPr="00454735" w:rsidRDefault="00BF0321" w:rsidP="00F70EAA">
      <w:pPr>
        <w:numPr>
          <w:ilvl w:val="1"/>
          <w:numId w:val="10"/>
        </w:numPr>
        <w:spacing w:before="120"/>
      </w:pPr>
      <w:r w:rsidRPr="00454735">
        <w:t xml:space="preserve">Mellemlagerets oplysninger om </w:t>
      </w:r>
      <w:proofErr w:type="spellStart"/>
      <w:r w:rsidRPr="00454735">
        <w:t>BFG’s</w:t>
      </w:r>
      <w:proofErr w:type="spellEnd"/>
      <w:r w:rsidRPr="00454735">
        <w:t xml:space="preserve"> </w:t>
      </w:r>
      <w:r w:rsidR="005E3EF0">
        <w:t xml:space="preserve">underliggende </w:t>
      </w:r>
      <w:r w:rsidRPr="00454735">
        <w:t>grund overført fra Tingbogen matches med den korresponderende SFE fra Matriklen</w:t>
      </w:r>
    </w:p>
    <w:p w:rsidR="00454735" w:rsidRPr="00454735" w:rsidRDefault="00454735" w:rsidP="00F70EAA">
      <w:pPr>
        <w:numPr>
          <w:ilvl w:val="1"/>
          <w:numId w:val="10"/>
        </w:numPr>
        <w:spacing w:before="120"/>
      </w:pPr>
      <w:r w:rsidRPr="00454735">
        <w:t xml:space="preserve">Mellemlagerets oplysninger om BFG overført fra Tingbogen matches </w:t>
      </w:r>
      <w:r w:rsidR="00BF0321">
        <w:t xml:space="preserve">i flere på hinanden følgende trin med </w:t>
      </w:r>
      <w:r w:rsidRPr="00454735">
        <w:t>tilsvarende oplysninger fra ESR/BBR.</w:t>
      </w:r>
      <w:r w:rsidR="00BF0321">
        <w:t xml:space="preserve"> Hvor der er match tilføjes BFE-nr. fra BBR/ESR til </w:t>
      </w:r>
      <w:r w:rsidR="005E3EF0">
        <w:t>t</w:t>
      </w:r>
      <w:r w:rsidR="000A1145">
        <w:t>ingbogs</w:t>
      </w:r>
      <w:r w:rsidR="005E3EF0">
        <w:t>bladet for det pågældende</w:t>
      </w:r>
      <w:r w:rsidR="000A1145">
        <w:t xml:space="preserve"> bygn.nr.</w:t>
      </w:r>
    </w:p>
    <w:p w:rsidR="00454735" w:rsidRPr="00454735" w:rsidRDefault="00454735" w:rsidP="00F70EAA">
      <w:pPr>
        <w:numPr>
          <w:ilvl w:val="1"/>
          <w:numId w:val="10"/>
        </w:numPr>
        <w:spacing w:before="120"/>
      </w:pPr>
      <w:r w:rsidRPr="00454735">
        <w:t>Ikke matchede BFG håndteres individuelt</w:t>
      </w:r>
      <w:r w:rsidR="000A1145">
        <w:t>, fx i samarbejde med beliggenheds</w:t>
      </w:r>
      <w:r w:rsidR="005E3EF0">
        <w:softHyphen/>
      </w:r>
      <w:r w:rsidR="000A1145">
        <w:t xml:space="preserve">kommunen. </w:t>
      </w:r>
      <w:r w:rsidR="005E3EF0">
        <w:t>En e</w:t>
      </w:r>
      <w:r w:rsidR="000A1145">
        <w:t>ventuel restgruppe herefter skal der formentlig lovgives om.</w:t>
      </w:r>
    </w:p>
    <w:p w:rsidR="00454735" w:rsidRPr="00454735" w:rsidRDefault="00454735" w:rsidP="00F70EAA">
      <w:pPr>
        <w:numPr>
          <w:ilvl w:val="1"/>
          <w:numId w:val="10"/>
        </w:numPr>
        <w:spacing w:before="120"/>
      </w:pPr>
      <w:r w:rsidRPr="00454735">
        <w:t>BFE-nr</w:t>
      </w:r>
      <w:r w:rsidR="000A1145">
        <w:t>.</w:t>
      </w:r>
      <w:r w:rsidRPr="00454735">
        <w:t xml:space="preserve"> til</w:t>
      </w:r>
      <w:r w:rsidR="000A1145">
        <w:t xml:space="preserve">deles til identificerede </w:t>
      </w:r>
      <w:proofErr w:type="spellStart"/>
      <w:r w:rsidRPr="00454735">
        <w:t>BFG’er</w:t>
      </w:r>
      <w:proofErr w:type="spellEnd"/>
      <w:r w:rsidRPr="00454735">
        <w:t xml:space="preserve"> </w:t>
      </w:r>
      <w:r w:rsidR="000A1145">
        <w:t xml:space="preserve">i Tingbogen, </w:t>
      </w:r>
      <w:r w:rsidRPr="00454735">
        <w:t xml:space="preserve">som </w:t>
      </w:r>
      <w:r w:rsidR="000A1145">
        <w:t xml:space="preserve">måtte være </w:t>
      </w:r>
      <w:r w:rsidRPr="00454735">
        <w:t xml:space="preserve">overskydende </w:t>
      </w:r>
      <w:r w:rsidR="000A1145">
        <w:t>forhold til E</w:t>
      </w:r>
      <w:r w:rsidRPr="00454735">
        <w:t xml:space="preserve">SR/BBR. Det er i denne sammenhæng helt afgørende at undgå, at samme bygning tildeles to forskellige BFE-numre. </w:t>
      </w:r>
    </w:p>
    <w:p w:rsidR="00F52164" w:rsidRDefault="00F52164" w:rsidP="00A93A31">
      <w:pPr>
        <w:spacing w:before="120"/>
      </w:pPr>
    </w:p>
    <w:p w:rsidR="004A6BC8" w:rsidRDefault="004A6BC8" w:rsidP="00B400CA">
      <w:pPr>
        <w:pStyle w:val="Overskrift1"/>
      </w:pPr>
      <w:bookmarkStart w:id="26" w:name="_Toc357071809"/>
      <w:bookmarkStart w:id="27" w:name="_Toc350697145"/>
      <w:bookmarkStart w:id="28" w:name="_Toc351563238"/>
      <w:r>
        <w:lastRenderedPageBreak/>
        <w:t>Organisering</w:t>
      </w:r>
      <w:r w:rsidR="002B1996">
        <w:t xml:space="preserve"> og kommunikation</w:t>
      </w:r>
      <w:bookmarkEnd w:id="26"/>
    </w:p>
    <w:p w:rsidR="004641B9" w:rsidRDefault="004641B9" w:rsidP="00FD7A59">
      <w:pPr>
        <w:pStyle w:val="Overskrift2"/>
        <w:rPr>
          <w:lang w:val="da-DK"/>
        </w:rPr>
      </w:pPr>
      <w:bookmarkStart w:id="29" w:name="_Toc357071810"/>
      <w:r>
        <w:rPr>
          <w:lang w:val="da-DK"/>
        </w:rPr>
        <w:t>Overordnet organisering</w:t>
      </w:r>
      <w:bookmarkEnd w:id="29"/>
    </w:p>
    <w:p w:rsidR="00652B61" w:rsidRDefault="00652B61" w:rsidP="00E92B2E">
      <w:pPr>
        <w:spacing w:before="40" w:after="40"/>
        <w:jc w:val="left"/>
        <w:rPr>
          <w:bCs/>
        </w:rPr>
      </w:pPr>
      <w:r>
        <w:rPr>
          <w:bCs/>
        </w:rPr>
        <w:t>Styregruppen for GD1 har ansvar for harmonisering af data fra Tingbog, BBR og ESR og for migrering af ejendomsdata fra disse ejendomsregistre til grunddataregistret Matriklen.</w:t>
      </w:r>
    </w:p>
    <w:p w:rsidR="00E92B2E" w:rsidRPr="00635A6D" w:rsidRDefault="000A1145" w:rsidP="00E92B2E">
      <w:pPr>
        <w:spacing w:before="40" w:after="40"/>
        <w:jc w:val="left"/>
        <w:rPr>
          <w:bCs/>
        </w:rPr>
      </w:pPr>
      <w:r>
        <w:rPr>
          <w:bCs/>
        </w:rPr>
        <w:t xml:space="preserve">Idet der må forudses behov for løbende videreudvikling af strategien under den tilbageværende del af pilotprojektet </w:t>
      </w:r>
      <w:r w:rsidR="00F506D4">
        <w:rPr>
          <w:bCs/>
        </w:rPr>
        <w:t>og under dataharmoniseringen bør organisering og kommunikation tilrettelægges under hensyn hertil.</w:t>
      </w:r>
    </w:p>
    <w:p w:rsidR="00635A6D" w:rsidRDefault="00635A6D" w:rsidP="00635A6D">
      <w:pPr>
        <w:spacing w:before="40" w:after="40"/>
        <w:jc w:val="left"/>
        <w:rPr>
          <w:bCs/>
        </w:rPr>
      </w:pPr>
      <w:r>
        <w:rPr>
          <w:bCs/>
        </w:rPr>
        <w:t>Der er b</w:t>
      </w:r>
      <w:r w:rsidRPr="00635A6D">
        <w:rPr>
          <w:bCs/>
        </w:rPr>
        <w:t>ehov</w:t>
      </w:r>
      <w:r>
        <w:rPr>
          <w:bCs/>
        </w:rPr>
        <w:t xml:space="preserve"> </w:t>
      </w:r>
      <w:r w:rsidRPr="00635A6D">
        <w:rPr>
          <w:bCs/>
        </w:rPr>
        <w:t xml:space="preserve">for samarbejde </w:t>
      </w:r>
      <w:r>
        <w:rPr>
          <w:bCs/>
        </w:rPr>
        <w:t xml:space="preserve">og </w:t>
      </w:r>
      <w:r w:rsidRPr="00635A6D">
        <w:rPr>
          <w:bCs/>
        </w:rPr>
        <w:t>ressourcer</w:t>
      </w:r>
      <w:r>
        <w:rPr>
          <w:bCs/>
        </w:rPr>
        <w:t xml:space="preserve"> fra GST, TLR og beliggenhedskommunen.</w:t>
      </w:r>
      <w:r w:rsidRPr="00635A6D">
        <w:rPr>
          <w:bCs/>
        </w:rPr>
        <w:t xml:space="preserve"> Det konkrete behov </w:t>
      </w:r>
      <w:r>
        <w:rPr>
          <w:bCs/>
        </w:rPr>
        <w:t>herfra afhænger af, hvor omfangsrige fejllisterne bliver.</w:t>
      </w:r>
    </w:p>
    <w:p w:rsidR="00635A6D" w:rsidRPr="00635A6D" w:rsidRDefault="00635A6D" w:rsidP="00635A6D">
      <w:pPr>
        <w:spacing w:before="40" w:after="40"/>
        <w:jc w:val="left"/>
        <w:rPr>
          <w:bCs/>
        </w:rPr>
      </w:pPr>
      <w:r>
        <w:rPr>
          <w:bCs/>
        </w:rPr>
        <w:t>K</w:t>
      </w:r>
      <w:r w:rsidRPr="00635A6D">
        <w:rPr>
          <w:bCs/>
        </w:rPr>
        <w:t xml:space="preserve">onkrete aftaler </w:t>
      </w:r>
      <w:r>
        <w:rPr>
          <w:bCs/>
        </w:rPr>
        <w:t xml:space="preserve">om samarbejde </w:t>
      </w:r>
      <w:r w:rsidRPr="00635A6D">
        <w:rPr>
          <w:bCs/>
        </w:rPr>
        <w:t>løs</w:t>
      </w:r>
      <w:r>
        <w:rPr>
          <w:bCs/>
        </w:rPr>
        <w:t xml:space="preserve">es </w:t>
      </w:r>
      <w:r w:rsidRPr="00635A6D">
        <w:rPr>
          <w:bCs/>
        </w:rPr>
        <w:t>bilateral</w:t>
      </w:r>
      <w:r>
        <w:rPr>
          <w:bCs/>
        </w:rPr>
        <w:t xml:space="preserve">t eller </w:t>
      </w:r>
      <w:r w:rsidRPr="00635A6D">
        <w:rPr>
          <w:bCs/>
        </w:rPr>
        <w:t>gennem projektlederforum. Er det ikke muligt at løse udfordringerne på dette niveau, håndteres udfordringen på styregruppeniveau.</w:t>
      </w:r>
    </w:p>
    <w:p w:rsidR="00635A6D" w:rsidRDefault="00635A6D" w:rsidP="00635A6D">
      <w:pPr>
        <w:spacing w:before="40" w:after="40"/>
        <w:jc w:val="left"/>
        <w:rPr>
          <w:bCs/>
        </w:rPr>
      </w:pPr>
      <w:r>
        <w:rPr>
          <w:bCs/>
        </w:rPr>
        <w:t>Eventuelt mere om:</w:t>
      </w:r>
    </w:p>
    <w:p w:rsidR="00635A6D" w:rsidRPr="00635A6D" w:rsidRDefault="00635A6D" w:rsidP="00635A6D">
      <w:pPr>
        <w:spacing w:before="40" w:after="40"/>
        <w:jc w:val="left"/>
        <w:rPr>
          <w:bCs/>
        </w:rPr>
      </w:pPr>
      <w:r w:rsidRPr="00635A6D">
        <w:rPr>
          <w:bCs/>
        </w:rPr>
        <w:t>&lt;Rollefordeling mellem styregruppe, projektlederforum og programsekretariat.&gt;</w:t>
      </w:r>
    </w:p>
    <w:p w:rsidR="00635A6D" w:rsidRDefault="00635A6D" w:rsidP="00635A6D">
      <w:pPr>
        <w:spacing w:before="40" w:after="40"/>
        <w:jc w:val="left"/>
      </w:pPr>
      <w:r w:rsidRPr="00635A6D">
        <w:rPr>
          <w:bCs/>
        </w:rPr>
        <w:t>&lt;Ansvar for</w:t>
      </w:r>
      <w:r w:rsidRPr="00652B61">
        <w:t xml:space="preserve"> tilknytning af ressourcer til hhv. delprogram test og projekt test&gt;</w:t>
      </w:r>
    </w:p>
    <w:p w:rsidR="00735680" w:rsidRDefault="000D1FB1" w:rsidP="00FD7A59">
      <w:pPr>
        <w:pStyle w:val="Overskrift2"/>
        <w:rPr>
          <w:lang w:val="da-DK"/>
        </w:rPr>
      </w:pPr>
      <w:bookmarkStart w:id="30" w:name="_Toc357071811"/>
      <w:r>
        <w:rPr>
          <w:lang w:val="da-DK"/>
        </w:rPr>
        <w:t>Afrapportering af pilotprojekt</w:t>
      </w:r>
      <w:r w:rsidR="00F506D4">
        <w:rPr>
          <w:lang w:val="da-DK"/>
        </w:rPr>
        <w:t xml:space="preserve"> (færdiggøres </w:t>
      </w:r>
      <w:r w:rsidR="00635A6D">
        <w:rPr>
          <w:lang w:val="da-DK"/>
        </w:rPr>
        <w:t xml:space="preserve">separat </w:t>
      </w:r>
      <w:r w:rsidR="00F506D4">
        <w:rPr>
          <w:lang w:val="da-DK"/>
        </w:rPr>
        <w:t>senere)</w:t>
      </w:r>
      <w:bookmarkEnd w:id="30"/>
    </w:p>
    <w:p w:rsidR="000D1FB1" w:rsidRDefault="000D1FB1" w:rsidP="00735680">
      <w:pPr>
        <w:pStyle w:val="Overskrift3"/>
      </w:pPr>
      <w:bookmarkStart w:id="31" w:name="_Toc357071812"/>
      <w:r>
        <w:t>Analyse ejerlejligheder</w:t>
      </w:r>
      <w:bookmarkEnd w:id="31"/>
    </w:p>
    <w:p w:rsidR="00735680" w:rsidRDefault="00652B61" w:rsidP="00735680">
      <w:pPr>
        <w:pStyle w:val="Overskrift3"/>
      </w:pPr>
      <w:bookmarkStart w:id="32" w:name="_Toc357071813"/>
      <w:r>
        <w:t>Mulig m</w:t>
      </w:r>
      <w:r w:rsidR="000D1FB1">
        <w:t>igrerings</w:t>
      </w:r>
      <w:r>
        <w:t>p</w:t>
      </w:r>
      <w:r w:rsidR="000D1FB1">
        <w:t>lan (ejerlejligheder)</w:t>
      </w:r>
      <w:bookmarkEnd w:id="32"/>
    </w:p>
    <w:p w:rsidR="00735680" w:rsidRDefault="000D1FB1" w:rsidP="00735680">
      <w:pPr>
        <w:pStyle w:val="Overskrift3"/>
      </w:pPr>
      <w:bookmarkStart w:id="33" w:name="_Toc357071814"/>
      <w:r>
        <w:t>Analyse bygninger på fremmed grund i ESR</w:t>
      </w:r>
      <w:bookmarkEnd w:id="33"/>
    </w:p>
    <w:p w:rsidR="000D1FB1" w:rsidRPr="000D1FB1" w:rsidRDefault="00652B61" w:rsidP="000D1FB1">
      <w:pPr>
        <w:pStyle w:val="Overskrift3"/>
      </w:pPr>
      <w:bookmarkStart w:id="34" w:name="_Toc357071815"/>
      <w:r>
        <w:t>Mulig migrerings</w:t>
      </w:r>
      <w:r w:rsidR="000D1FB1">
        <w:t>plan (bygninger på fremmed grund i ESR)</w:t>
      </w:r>
      <w:bookmarkEnd w:id="34"/>
    </w:p>
    <w:p w:rsidR="000D1FB1" w:rsidRDefault="000D1FB1" w:rsidP="000D1FB1">
      <w:pPr>
        <w:pStyle w:val="Overskrift3"/>
      </w:pPr>
      <w:bookmarkStart w:id="35" w:name="_Toc357071816"/>
      <w:r>
        <w:t xml:space="preserve">Analyse bygninger på fremmed grund </w:t>
      </w:r>
      <w:r w:rsidR="00652B61">
        <w:t>i Tingbog</w:t>
      </w:r>
      <w:bookmarkEnd w:id="35"/>
    </w:p>
    <w:p w:rsidR="00855962" w:rsidRDefault="00E92B2E" w:rsidP="00855962">
      <w:pPr>
        <w:pStyle w:val="Overskrift3"/>
      </w:pPr>
      <w:bookmarkStart w:id="36" w:name="_Toc357071817"/>
      <w:r>
        <w:t xml:space="preserve">Identifikationsmuligheder </w:t>
      </w:r>
      <w:r w:rsidR="000D1FB1">
        <w:t xml:space="preserve">(bygninger på fremmed grund i </w:t>
      </w:r>
      <w:r w:rsidR="00652B61">
        <w:t>Tingbog</w:t>
      </w:r>
      <w:r w:rsidR="000D1FB1">
        <w:t>)</w:t>
      </w:r>
      <w:bookmarkEnd w:id="27"/>
      <w:bookmarkEnd w:id="28"/>
      <w:bookmarkEnd w:id="36"/>
    </w:p>
    <w:p w:rsidR="00855962" w:rsidRPr="00855962" w:rsidRDefault="00855962" w:rsidP="00855962">
      <w:pPr>
        <w:pStyle w:val="Overskrift3"/>
      </w:pPr>
      <w:bookmarkStart w:id="37" w:name="_Toc357071818"/>
      <w:r>
        <w:t>Eventuel lovgivningsbehov</w:t>
      </w:r>
      <w:bookmarkEnd w:id="37"/>
    </w:p>
    <w:sectPr w:rsidR="00855962" w:rsidRPr="00855962" w:rsidSect="007B040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1C" w:rsidRDefault="0081251C">
      <w:pPr>
        <w:pStyle w:val="Overskrift1"/>
      </w:pPr>
      <w:r>
        <w:t>References.</w:t>
      </w:r>
    </w:p>
  </w:endnote>
  <w:endnote w:type="continuationSeparator" w:id="0">
    <w:p w:rsidR="0081251C" w:rsidRDefault="0081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B5" w:rsidRDefault="00B252B5"/>
  <w:p w:rsidR="00B252B5" w:rsidRDefault="00B252B5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252B5" w:rsidTr="00022208">
      <w:tc>
        <w:tcPr>
          <w:tcW w:w="2881" w:type="dxa"/>
          <w:shd w:val="clear" w:color="auto" w:fill="auto"/>
        </w:tcPr>
        <w:p w:rsidR="00B252B5" w:rsidRDefault="00B252B5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B252B5" w:rsidRDefault="00B252B5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1C34A4">
            <w:rPr>
              <w:rStyle w:val="Sidetal"/>
              <w:noProof/>
            </w:rPr>
            <w:t>8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1C34A4">
            <w:rPr>
              <w:rStyle w:val="Sidetal"/>
              <w:noProof/>
            </w:rPr>
            <w:t>8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:rsidR="00B252B5" w:rsidRPr="004E5375" w:rsidRDefault="00B252B5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2012-3565</w:t>
          </w:r>
        </w:p>
      </w:tc>
    </w:tr>
  </w:tbl>
  <w:p w:rsidR="00B252B5" w:rsidRDefault="00B252B5" w:rsidP="004E5375">
    <w:pPr>
      <w:pStyle w:val="Sidehoved"/>
      <w:jc w:val="right"/>
    </w:pPr>
  </w:p>
  <w:p w:rsidR="00B252B5" w:rsidRDefault="00B252B5">
    <w:pPr>
      <w:pStyle w:val="Sidefod"/>
      <w:jc w:val="center"/>
    </w:pPr>
  </w:p>
  <w:p w:rsidR="00B252B5" w:rsidRDefault="00B252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976"/>
      <w:gridCol w:w="1421"/>
    </w:tblGrid>
    <w:tr w:rsidR="00B252B5" w:rsidRPr="00022208" w:rsidTr="00022208">
      <w:tc>
        <w:tcPr>
          <w:tcW w:w="7088" w:type="dxa"/>
          <w:shd w:val="clear" w:color="auto" w:fill="auto"/>
        </w:tcPr>
        <w:p w:rsidR="00B252B5" w:rsidRPr="00877C63" w:rsidRDefault="00B252B5" w:rsidP="00483FF2">
          <w:pPr>
            <w:pStyle w:val="Sidefod"/>
            <w:rPr>
              <w:noProof/>
            </w:rPr>
          </w:pPr>
          <w:r w:rsidRPr="00877C63">
            <w:t>Fil:</w:t>
          </w:r>
          <w:fldSimple w:instr=" FILENAME ">
            <w:r w:rsidR="00A1640D">
              <w:rPr>
                <w:noProof/>
              </w:rPr>
              <w:t>GD1 Ejendomsdata - Fælles dataharminiseringsstrategi ver 0.2</w:t>
            </w:r>
          </w:fldSimple>
        </w:p>
      </w:tc>
      <w:tc>
        <w:tcPr>
          <w:tcW w:w="1449" w:type="dxa"/>
          <w:shd w:val="clear" w:color="auto" w:fill="auto"/>
        </w:tcPr>
        <w:p w:rsidR="00B252B5" w:rsidRPr="00022208" w:rsidRDefault="00B252B5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B252B5" w:rsidRPr="00C251C5" w:rsidRDefault="00B252B5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1C" w:rsidRDefault="0081251C">
      <w:r>
        <w:separator/>
      </w:r>
    </w:p>
  </w:footnote>
  <w:footnote w:type="continuationSeparator" w:id="0">
    <w:p w:rsidR="0081251C" w:rsidRDefault="0081251C">
      <w:r>
        <w:continuationSeparator/>
      </w:r>
    </w:p>
  </w:footnote>
  <w:footnote w:type="continuationNotice" w:id="1">
    <w:p w:rsidR="0081251C" w:rsidRDefault="00812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B5" w:rsidRDefault="00B252B5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Fælles teststrategi"  \* MERGEFORMAT </w:instrText>
    </w:r>
    <w:r>
      <w:rPr>
        <w:kern w:val="28"/>
        <w:sz w:val="16"/>
      </w:rPr>
      <w:fldChar w:fldCharType="separate"/>
    </w:r>
    <w:r w:rsidR="00A1640D">
      <w:rPr>
        <w:kern w:val="28"/>
        <w:sz w:val="16"/>
      </w:rPr>
      <w:t>Ejendomsdataprogrammet - Fælles teststrategi</w:t>
    </w:r>
    <w:r>
      <w:rPr>
        <w:kern w:val="28"/>
        <w:sz w:val="16"/>
      </w:rPr>
      <w:fldChar w:fldCharType="end"/>
    </w:r>
  </w:p>
  <w:p w:rsidR="00B252B5" w:rsidRPr="006171CF" w:rsidRDefault="00B252B5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A1640D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B252B5" w:rsidRDefault="00B252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2B5" w:rsidRPr="001D4A86" w:rsidRDefault="0071475F" w:rsidP="00786F5A">
    <w:pPr>
      <w:pStyle w:val="Sidehoved"/>
      <w:tabs>
        <w:tab w:val="clear" w:pos="4819"/>
        <w:tab w:val="center" w:pos="4253"/>
      </w:tabs>
    </w:pPr>
    <w:r w:rsidRPr="0071475F">
      <w:rPr>
        <w:noProof/>
      </w:rPr>
      <w:drawing>
        <wp:inline distT="0" distB="0" distL="0" distR="0" wp14:anchorId="30A6D03B" wp14:editId="0A8F3C1B">
          <wp:extent cx="1265238" cy="827087"/>
          <wp:effectExtent l="0" t="0" r="0" b="0"/>
          <wp:docPr id="1033" name="Picture 9" descr="F:\By og Land\Ejendomsdata\Samordningssekretariatet\Grunddataprogrammet GD1 GD2\GD1 - Ejendomsdataprogrammet\Kommunikation\Logo G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F:\By og Land\Ejendomsdata\Samordningssekretariatet\Grunddataprogrammet GD1 GD2\GD1 - Ejendomsdataprogrammet\Kommunikation\Logo G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8270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B252B5">
      <w:tab/>
    </w:r>
    <w:r w:rsidR="00B252B5">
      <w:tab/>
    </w:r>
    <w:r w:rsidR="00B252B5">
      <w:rPr>
        <w:noProof/>
      </w:rPr>
      <w:drawing>
        <wp:inline distT="0" distB="0" distL="0" distR="0" wp14:anchorId="0D8F76DF" wp14:editId="53CFF1FF">
          <wp:extent cx="2581275" cy="809625"/>
          <wp:effectExtent l="0" t="0" r="9525" b="9525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8D80F3C"/>
    <w:multiLevelType w:val="hybridMultilevel"/>
    <w:tmpl w:val="319A4B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60BA"/>
    <w:multiLevelType w:val="hybridMultilevel"/>
    <w:tmpl w:val="FBFEFD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7" w15:restartNumberingAfterBreak="0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66C03"/>
    <w:multiLevelType w:val="hybridMultilevel"/>
    <w:tmpl w:val="F9BC3D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A150D"/>
    <w:multiLevelType w:val="hybridMultilevel"/>
    <w:tmpl w:val="6E38C4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1" w15:restartNumberingAfterBreak="0">
    <w:nsid w:val="72F61193"/>
    <w:multiLevelType w:val="hybridMultilevel"/>
    <w:tmpl w:val="B9A0E8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4857"/>
    <w:rsid w:val="00025438"/>
    <w:rsid w:val="000260A2"/>
    <w:rsid w:val="000309D0"/>
    <w:rsid w:val="00030CD3"/>
    <w:rsid w:val="00032977"/>
    <w:rsid w:val="00033A20"/>
    <w:rsid w:val="0003451B"/>
    <w:rsid w:val="00035360"/>
    <w:rsid w:val="00035BEB"/>
    <w:rsid w:val="00036170"/>
    <w:rsid w:val="000369B6"/>
    <w:rsid w:val="0003723E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77931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1145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2D54"/>
    <w:rsid w:val="000C36F8"/>
    <w:rsid w:val="000C473E"/>
    <w:rsid w:val="000C5EB6"/>
    <w:rsid w:val="000C6065"/>
    <w:rsid w:val="000D1284"/>
    <w:rsid w:val="000D1FB1"/>
    <w:rsid w:val="000D21E6"/>
    <w:rsid w:val="000D27E0"/>
    <w:rsid w:val="000D37E0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1D14"/>
    <w:rsid w:val="00101E75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950"/>
    <w:rsid w:val="00137A55"/>
    <w:rsid w:val="00140B7D"/>
    <w:rsid w:val="00141B06"/>
    <w:rsid w:val="0014252A"/>
    <w:rsid w:val="00144770"/>
    <w:rsid w:val="001454BD"/>
    <w:rsid w:val="0014604D"/>
    <w:rsid w:val="001516A7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4A10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4EF5"/>
    <w:rsid w:val="001968B3"/>
    <w:rsid w:val="00196A8C"/>
    <w:rsid w:val="00197118"/>
    <w:rsid w:val="0019731A"/>
    <w:rsid w:val="00197718"/>
    <w:rsid w:val="001A0171"/>
    <w:rsid w:val="001A24F4"/>
    <w:rsid w:val="001A2FAB"/>
    <w:rsid w:val="001A4882"/>
    <w:rsid w:val="001A5118"/>
    <w:rsid w:val="001A535F"/>
    <w:rsid w:val="001A5762"/>
    <w:rsid w:val="001A6CA4"/>
    <w:rsid w:val="001A7EB2"/>
    <w:rsid w:val="001B2DCF"/>
    <w:rsid w:val="001B3525"/>
    <w:rsid w:val="001B6711"/>
    <w:rsid w:val="001C33F5"/>
    <w:rsid w:val="001C34A4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1EF5"/>
    <w:rsid w:val="00252534"/>
    <w:rsid w:val="00252584"/>
    <w:rsid w:val="0025303D"/>
    <w:rsid w:val="00253479"/>
    <w:rsid w:val="00256163"/>
    <w:rsid w:val="002573BB"/>
    <w:rsid w:val="00260023"/>
    <w:rsid w:val="00260F2B"/>
    <w:rsid w:val="0026155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77121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996"/>
    <w:rsid w:val="002B27C2"/>
    <w:rsid w:val="002B4154"/>
    <w:rsid w:val="002B4303"/>
    <w:rsid w:val="002B4B6B"/>
    <w:rsid w:val="002B63EF"/>
    <w:rsid w:val="002B7B8F"/>
    <w:rsid w:val="002C49DF"/>
    <w:rsid w:val="002C60AB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5CE3"/>
    <w:rsid w:val="002F63CF"/>
    <w:rsid w:val="002F7F8B"/>
    <w:rsid w:val="00303259"/>
    <w:rsid w:val="00305C97"/>
    <w:rsid w:val="0030735D"/>
    <w:rsid w:val="00307A19"/>
    <w:rsid w:val="00312989"/>
    <w:rsid w:val="00313E26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678A2"/>
    <w:rsid w:val="0037099A"/>
    <w:rsid w:val="00370FEC"/>
    <w:rsid w:val="0037142C"/>
    <w:rsid w:val="003728AF"/>
    <w:rsid w:val="00373C21"/>
    <w:rsid w:val="00374148"/>
    <w:rsid w:val="00375389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72AF"/>
    <w:rsid w:val="0041042C"/>
    <w:rsid w:val="00411E7F"/>
    <w:rsid w:val="0041260C"/>
    <w:rsid w:val="004142B9"/>
    <w:rsid w:val="004150B2"/>
    <w:rsid w:val="0041601E"/>
    <w:rsid w:val="00416AD8"/>
    <w:rsid w:val="004208FF"/>
    <w:rsid w:val="004212EA"/>
    <w:rsid w:val="004216CF"/>
    <w:rsid w:val="00424DE0"/>
    <w:rsid w:val="004252A9"/>
    <w:rsid w:val="00426151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4735"/>
    <w:rsid w:val="0045596C"/>
    <w:rsid w:val="00455D35"/>
    <w:rsid w:val="004568D9"/>
    <w:rsid w:val="004608B0"/>
    <w:rsid w:val="004609D5"/>
    <w:rsid w:val="00462F12"/>
    <w:rsid w:val="00463D42"/>
    <w:rsid w:val="004641B9"/>
    <w:rsid w:val="00466EBD"/>
    <w:rsid w:val="00471258"/>
    <w:rsid w:val="004741B9"/>
    <w:rsid w:val="004759EA"/>
    <w:rsid w:val="0048196E"/>
    <w:rsid w:val="00481CBA"/>
    <w:rsid w:val="00483FF2"/>
    <w:rsid w:val="00484383"/>
    <w:rsid w:val="00485E9C"/>
    <w:rsid w:val="00486A2A"/>
    <w:rsid w:val="00486DC4"/>
    <w:rsid w:val="00487915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535"/>
    <w:rsid w:val="004A2F9B"/>
    <w:rsid w:val="004A322C"/>
    <w:rsid w:val="004A61F6"/>
    <w:rsid w:val="004A623A"/>
    <w:rsid w:val="004A6BC8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5C7D"/>
    <w:rsid w:val="005078C7"/>
    <w:rsid w:val="00510934"/>
    <w:rsid w:val="00512DAF"/>
    <w:rsid w:val="005210AC"/>
    <w:rsid w:val="005230FB"/>
    <w:rsid w:val="005238DD"/>
    <w:rsid w:val="00524D2E"/>
    <w:rsid w:val="00527274"/>
    <w:rsid w:val="00527516"/>
    <w:rsid w:val="00530BE4"/>
    <w:rsid w:val="005339B4"/>
    <w:rsid w:val="00533B6F"/>
    <w:rsid w:val="00534AF5"/>
    <w:rsid w:val="00534B4A"/>
    <w:rsid w:val="00537D91"/>
    <w:rsid w:val="00541775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3D8F"/>
    <w:rsid w:val="005A6F30"/>
    <w:rsid w:val="005A7670"/>
    <w:rsid w:val="005B05B4"/>
    <w:rsid w:val="005B2F20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3EF0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2D16"/>
    <w:rsid w:val="00602F6F"/>
    <w:rsid w:val="00606318"/>
    <w:rsid w:val="0061060E"/>
    <w:rsid w:val="0061064B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27A05"/>
    <w:rsid w:val="0063138E"/>
    <w:rsid w:val="00632661"/>
    <w:rsid w:val="00632A76"/>
    <w:rsid w:val="00635A6D"/>
    <w:rsid w:val="0063718D"/>
    <w:rsid w:val="006408A3"/>
    <w:rsid w:val="00641365"/>
    <w:rsid w:val="00641FF7"/>
    <w:rsid w:val="00642847"/>
    <w:rsid w:val="0064343A"/>
    <w:rsid w:val="00643D43"/>
    <w:rsid w:val="00646676"/>
    <w:rsid w:val="0064723E"/>
    <w:rsid w:val="00647EA7"/>
    <w:rsid w:val="00651C45"/>
    <w:rsid w:val="00652B61"/>
    <w:rsid w:val="00663949"/>
    <w:rsid w:val="00663D52"/>
    <w:rsid w:val="00663FE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BC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2BA"/>
    <w:rsid w:val="00694ACB"/>
    <w:rsid w:val="00697468"/>
    <w:rsid w:val="006975CE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3382"/>
    <w:rsid w:val="006C286D"/>
    <w:rsid w:val="006C2BD0"/>
    <w:rsid w:val="006C4BFC"/>
    <w:rsid w:val="006C560A"/>
    <w:rsid w:val="006D093E"/>
    <w:rsid w:val="006D10BD"/>
    <w:rsid w:val="006D18BC"/>
    <w:rsid w:val="006D24AC"/>
    <w:rsid w:val="006D35C0"/>
    <w:rsid w:val="006D48CE"/>
    <w:rsid w:val="006D4922"/>
    <w:rsid w:val="006D4D6F"/>
    <w:rsid w:val="006D586A"/>
    <w:rsid w:val="006D71B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475F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27A35"/>
    <w:rsid w:val="00730D94"/>
    <w:rsid w:val="00732551"/>
    <w:rsid w:val="0073356F"/>
    <w:rsid w:val="00733AE1"/>
    <w:rsid w:val="00735680"/>
    <w:rsid w:val="00737799"/>
    <w:rsid w:val="0074304C"/>
    <w:rsid w:val="007440F2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77242"/>
    <w:rsid w:val="00780E22"/>
    <w:rsid w:val="00781FE1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05CB"/>
    <w:rsid w:val="008114B4"/>
    <w:rsid w:val="0081251C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502EB"/>
    <w:rsid w:val="00852761"/>
    <w:rsid w:val="008530BF"/>
    <w:rsid w:val="00855294"/>
    <w:rsid w:val="00855962"/>
    <w:rsid w:val="00857BC4"/>
    <w:rsid w:val="00860DF6"/>
    <w:rsid w:val="00860F67"/>
    <w:rsid w:val="00864301"/>
    <w:rsid w:val="00865A71"/>
    <w:rsid w:val="0087180C"/>
    <w:rsid w:val="0087219E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C6C8E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46C4"/>
    <w:rsid w:val="00926858"/>
    <w:rsid w:val="00927A61"/>
    <w:rsid w:val="009306A5"/>
    <w:rsid w:val="009312D5"/>
    <w:rsid w:val="00931D76"/>
    <w:rsid w:val="009333F8"/>
    <w:rsid w:val="009364AD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640D"/>
    <w:rsid w:val="00A17A36"/>
    <w:rsid w:val="00A17A6B"/>
    <w:rsid w:val="00A21C8A"/>
    <w:rsid w:val="00A21ECD"/>
    <w:rsid w:val="00A24CA2"/>
    <w:rsid w:val="00A252AA"/>
    <w:rsid w:val="00A256E5"/>
    <w:rsid w:val="00A30032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A31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B7DA0"/>
    <w:rsid w:val="00AC0DCF"/>
    <w:rsid w:val="00AC22D4"/>
    <w:rsid w:val="00AC381E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93B"/>
    <w:rsid w:val="00AD7A3F"/>
    <w:rsid w:val="00AE0349"/>
    <w:rsid w:val="00AE2398"/>
    <w:rsid w:val="00AE2639"/>
    <w:rsid w:val="00AE387C"/>
    <w:rsid w:val="00AE3FA7"/>
    <w:rsid w:val="00AE6435"/>
    <w:rsid w:val="00AE66D6"/>
    <w:rsid w:val="00AF2516"/>
    <w:rsid w:val="00AF41A6"/>
    <w:rsid w:val="00AF4D24"/>
    <w:rsid w:val="00AF6FCE"/>
    <w:rsid w:val="00AF7D77"/>
    <w:rsid w:val="00B00374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52B5"/>
    <w:rsid w:val="00B26D36"/>
    <w:rsid w:val="00B27E04"/>
    <w:rsid w:val="00B3193E"/>
    <w:rsid w:val="00B31DE8"/>
    <w:rsid w:val="00B400CA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2A33"/>
    <w:rsid w:val="00B635DD"/>
    <w:rsid w:val="00B640E2"/>
    <w:rsid w:val="00B64B19"/>
    <w:rsid w:val="00B64C4D"/>
    <w:rsid w:val="00B652C1"/>
    <w:rsid w:val="00B67152"/>
    <w:rsid w:val="00B70963"/>
    <w:rsid w:val="00B72B3C"/>
    <w:rsid w:val="00B7427F"/>
    <w:rsid w:val="00B76473"/>
    <w:rsid w:val="00B7763D"/>
    <w:rsid w:val="00B812C3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364"/>
    <w:rsid w:val="00B95F4E"/>
    <w:rsid w:val="00B96466"/>
    <w:rsid w:val="00B96BA3"/>
    <w:rsid w:val="00B96F92"/>
    <w:rsid w:val="00BA0571"/>
    <w:rsid w:val="00BA0CF5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F0321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6720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152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57A24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4D3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0D75"/>
    <w:rsid w:val="00CC59E8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3459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47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2F8A"/>
    <w:rsid w:val="00D87CB9"/>
    <w:rsid w:val="00D914D7"/>
    <w:rsid w:val="00D91FE7"/>
    <w:rsid w:val="00D94ED7"/>
    <w:rsid w:val="00D9577C"/>
    <w:rsid w:val="00D96D46"/>
    <w:rsid w:val="00DA0AA1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589"/>
    <w:rsid w:val="00DB46CF"/>
    <w:rsid w:val="00DB48CE"/>
    <w:rsid w:val="00DB5DD3"/>
    <w:rsid w:val="00DB7C0E"/>
    <w:rsid w:val="00DC1B5B"/>
    <w:rsid w:val="00DC5337"/>
    <w:rsid w:val="00DC5744"/>
    <w:rsid w:val="00DD1DEE"/>
    <w:rsid w:val="00DD5907"/>
    <w:rsid w:val="00DD66D6"/>
    <w:rsid w:val="00DE2F6C"/>
    <w:rsid w:val="00DE3463"/>
    <w:rsid w:val="00DE39BE"/>
    <w:rsid w:val="00DE52B5"/>
    <w:rsid w:val="00DE71FE"/>
    <w:rsid w:val="00DF0B9F"/>
    <w:rsid w:val="00DF289D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16440"/>
    <w:rsid w:val="00E2085B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2A5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2B2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48BE"/>
    <w:rsid w:val="00EC085E"/>
    <w:rsid w:val="00EC1102"/>
    <w:rsid w:val="00EC19FC"/>
    <w:rsid w:val="00EC1D27"/>
    <w:rsid w:val="00EC30BF"/>
    <w:rsid w:val="00EC42AC"/>
    <w:rsid w:val="00EC45DA"/>
    <w:rsid w:val="00EC4FB4"/>
    <w:rsid w:val="00EC64E3"/>
    <w:rsid w:val="00ED10E3"/>
    <w:rsid w:val="00ED2C7E"/>
    <w:rsid w:val="00ED398E"/>
    <w:rsid w:val="00ED4991"/>
    <w:rsid w:val="00ED4E25"/>
    <w:rsid w:val="00ED78E9"/>
    <w:rsid w:val="00EE492A"/>
    <w:rsid w:val="00EE5DDA"/>
    <w:rsid w:val="00EE788B"/>
    <w:rsid w:val="00EF01D7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74A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06D4"/>
    <w:rsid w:val="00F5175F"/>
    <w:rsid w:val="00F51BAF"/>
    <w:rsid w:val="00F52164"/>
    <w:rsid w:val="00F530AF"/>
    <w:rsid w:val="00F54506"/>
    <w:rsid w:val="00F55FB4"/>
    <w:rsid w:val="00F56DBB"/>
    <w:rsid w:val="00F57F25"/>
    <w:rsid w:val="00F60A20"/>
    <w:rsid w:val="00F60AC6"/>
    <w:rsid w:val="00F63B02"/>
    <w:rsid w:val="00F668E2"/>
    <w:rsid w:val="00F70EAA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30C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A59"/>
    <w:rsid w:val="00FD7B7B"/>
    <w:rsid w:val="00FD7E16"/>
    <w:rsid w:val="00FE1CDA"/>
    <w:rsid w:val="00FE2619"/>
    <w:rsid w:val="00FE4937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A5926E-51F6-43E7-BA8B-6D6F6333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4284-5BDB-41A2-ABCD-F51B902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2129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Fælles teststrategi</vt:lpstr>
    </vt:vector>
  </TitlesOfParts>
  <Company>MBBL</Company>
  <LinksUpToDate>false</LinksUpToDate>
  <CharactersWithSpaces>15089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Fælles teststrategi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2013-05-23T09:33:00Z</cp:lastPrinted>
  <dcterms:created xsi:type="dcterms:W3CDTF">2017-12-11T12:16:00Z</dcterms:created>
  <dcterms:modified xsi:type="dcterms:W3CDTF">2017-12-11T12:16:00Z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