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B2" w:rsidRDefault="005B4C20" w:rsidP="00A817C3">
      <w:pPr>
        <w:tabs>
          <w:tab w:val="left" w:pos="6407"/>
          <w:tab w:val="left" w:pos="6804"/>
          <w:tab w:val="right" w:pos="9044"/>
          <w:tab w:val="right" w:pos="10132"/>
        </w:tabs>
        <w:spacing w:after="0" w:line="288" w:lineRule="auto"/>
        <w:ind w:left="6804" w:hanging="6804"/>
        <w:jc w:val="right"/>
        <w:rPr>
          <w:rFonts w:cs="Arial"/>
        </w:rPr>
      </w:pPr>
      <w:bookmarkStart w:id="0" w:name="_GoBack"/>
      <w:bookmarkEnd w:id="0"/>
      <w:r>
        <w:rPr>
          <w:rFonts w:cs="Arial"/>
        </w:rPr>
        <w:t>MBBL 02</w:t>
      </w:r>
      <w:r w:rsidR="007A3DD9">
        <w:rPr>
          <w:rFonts w:cs="Arial"/>
        </w:rPr>
        <w:t>-05</w:t>
      </w:r>
      <w:r w:rsidR="004247B2">
        <w:rPr>
          <w:rFonts w:cs="Arial"/>
        </w:rPr>
        <w:t>-2013</w:t>
      </w:r>
    </w:p>
    <w:p w:rsidR="00A817C3" w:rsidRPr="00500C78" w:rsidRDefault="00A817C3" w:rsidP="0068637E">
      <w:pPr>
        <w:tabs>
          <w:tab w:val="left" w:pos="6407"/>
          <w:tab w:val="left" w:pos="6804"/>
          <w:tab w:val="right" w:pos="9044"/>
          <w:tab w:val="right" w:pos="10132"/>
        </w:tabs>
        <w:spacing w:after="0" w:line="288" w:lineRule="auto"/>
        <w:ind w:left="6804" w:hanging="6804"/>
        <w:jc w:val="right"/>
        <w:rPr>
          <w:rFonts w:cs="Arial"/>
        </w:rPr>
      </w:pPr>
    </w:p>
    <w:p w:rsidR="00640C9C" w:rsidRPr="00B560C3" w:rsidRDefault="00640C9C" w:rsidP="00BF3356">
      <w:pPr>
        <w:tabs>
          <w:tab w:val="left" w:pos="6407"/>
          <w:tab w:val="left" w:pos="6804"/>
          <w:tab w:val="right" w:pos="9044"/>
          <w:tab w:val="right" w:pos="10132"/>
        </w:tabs>
        <w:spacing w:after="0" w:line="288" w:lineRule="auto"/>
        <w:rPr>
          <w:rFonts w:cs="Arial"/>
          <w:color w:val="FF0000"/>
        </w:rPr>
      </w:pPr>
      <w:r w:rsidRPr="00B560C3">
        <w:rPr>
          <w:rFonts w:cs="Arial"/>
          <w:color w:val="FF0000"/>
        </w:rPr>
        <w:t>Bilag 27</w:t>
      </w:r>
    </w:p>
    <w:p w:rsidR="00640C9C" w:rsidRDefault="00640C9C" w:rsidP="00BF3356">
      <w:pPr>
        <w:tabs>
          <w:tab w:val="left" w:pos="6407"/>
          <w:tab w:val="left" w:pos="6804"/>
          <w:tab w:val="right" w:pos="9044"/>
          <w:tab w:val="right" w:pos="10132"/>
        </w:tabs>
        <w:spacing w:after="0" w:line="288" w:lineRule="auto"/>
        <w:rPr>
          <w:rFonts w:cs="Arial"/>
        </w:rPr>
      </w:pPr>
    </w:p>
    <w:p w:rsidR="0068637E" w:rsidRPr="00500C78" w:rsidRDefault="0068637E" w:rsidP="00BF3356">
      <w:pPr>
        <w:tabs>
          <w:tab w:val="left" w:pos="6407"/>
          <w:tab w:val="left" w:pos="6804"/>
          <w:tab w:val="right" w:pos="9044"/>
          <w:tab w:val="right" w:pos="10132"/>
        </w:tabs>
        <w:spacing w:after="0" w:line="288" w:lineRule="auto"/>
        <w:rPr>
          <w:rFonts w:cs="Arial"/>
        </w:rPr>
      </w:pPr>
      <w:r w:rsidRPr="00500C78">
        <w:rPr>
          <w:rFonts w:cs="Arial"/>
        </w:rPr>
        <w:t>Ministeriet for By, Bolig og Landdistrikter</w:t>
      </w:r>
    </w:p>
    <w:p w:rsidR="0068637E" w:rsidRPr="00500C78" w:rsidRDefault="0068637E" w:rsidP="003F622A">
      <w:pPr>
        <w:tabs>
          <w:tab w:val="left" w:pos="6407"/>
          <w:tab w:val="left" w:pos="6804"/>
          <w:tab w:val="right" w:pos="9044"/>
          <w:tab w:val="right" w:pos="10132"/>
        </w:tabs>
        <w:spacing w:after="0" w:line="288" w:lineRule="auto"/>
        <w:ind w:left="6804" w:hanging="6804"/>
        <w:rPr>
          <w:rFonts w:cs="Arial"/>
        </w:rPr>
      </w:pPr>
      <w:r w:rsidRPr="00500C78">
        <w:rPr>
          <w:rFonts w:cs="Arial"/>
        </w:rPr>
        <w:t>Domstolsstyrelsen</w:t>
      </w:r>
    </w:p>
    <w:p w:rsidR="0068637E" w:rsidRPr="00500C78" w:rsidRDefault="0068637E" w:rsidP="003F622A">
      <w:pPr>
        <w:tabs>
          <w:tab w:val="left" w:pos="6407"/>
          <w:tab w:val="left" w:pos="6804"/>
          <w:tab w:val="right" w:pos="9044"/>
          <w:tab w:val="right" w:pos="10132"/>
        </w:tabs>
        <w:spacing w:after="0" w:line="288" w:lineRule="auto"/>
        <w:ind w:left="6804" w:hanging="6804"/>
        <w:rPr>
          <w:rFonts w:cs="Arial"/>
        </w:rPr>
      </w:pPr>
      <w:r w:rsidRPr="00500C78">
        <w:rPr>
          <w:rFonts w:cs="Arial"/>
        </w:rPr>
        <w:t>Tinglysningsretten</w:t>
      </w:r>
    </w:p>
    <w:p w:rsidR="0068637E" w:rsidRPr="00500C78" w:rsidRDefault="0068637E" w:rsidP="003F622A">
      <w:pPr>
        <w:tabs>
          <w:tab w:val="left" w:pos="6407"/>
          <w:tab w:val="left" w:pos="6804"/>
          <w:tab w:val="right" w:pos="9044"/>
          <w:tab w:val="right" w:pos="10132"/>
        </w:tabs>
        <w:spacing w:after="0" w:line="288" w:lineRule="auto"/>
        <w:ind w:left="6804" w:hanging="6804"/>
        <w:rPr>
          <w:rFonts w:cs="Arial"/>
        </w:rPr>
      </w:pPr>
      <w:r w:rsidRPr="00500C78">
        <w:rPr>
          <w:rFonts w:cs="Arial"/>
        </w:rPr>
        <w:t>Digitaliseringsstyrelsen</w:t>
      </w:r>
    </w:p>
    <w:p w:rsidR="0068637E" w:rsidRPr="00500C78" w:rsidRDefault="0068637E" w:rsidP="003F622A">
      <w:pPr>
        <w:tabs>
          <w:tab w:val="left" w:pos="6407"/>
          <w:tab w:val="left" w:pos="6804"/>
          <w:tab w:val="right" w:pos="9044"/>
          <w:tab w:val="right" w:pos="10132"/>
        </w:tabs>
        <w:spacing w:after="0" w:line="288" w:lineRule="auto"/>
        <w:ind w:left="6804" w:hanging="6804"/>
        <w:rPr>
          <w:rFonts w:cs="Arial"/>
        </w:rPr>
      </w:pPr>
      <w:r w:rsidRPr="00500C78">
        <w:rPr>
          <w:rFonts w:cs="Arial"/>
        </w:rPr>
        <w:t>Geodatastyrelsen</w:t>
      </w:r>
    </w:p>
    <w:p w:rsidR="00F11229" w:rsidRDefault="00F11229" w:rsidP="003F622A">
      <w:pPr>
        <w:tabs>
          <w:tab w:val="left" w:pos="6407"/>
          <w:tab w:val="left" w:pos="6804"/>
          <w:tab w:val="right" w:pos="9044"/>
          <w:tab w:val="right" w:pos="10132"/>
        </w:tabs>
        <w:spacing w:after="0" w:line="288" w:lineRule="auto"/>
        <w:ind w:left="6804" w:hanging="6804"/>
        <w:rPr>
          <w:rFonts w:cs="Arial"/>
        </w:rPr>
      </w:pPr>
    </w:p>
    <w:p w:rsidR="00F10912" w:rsidRPr="00500C78" w:rsidRDefault="00F10912" w:rsidP="003F622A">
      <w:pPr>
        <w:tabs>
          <w:tab w:val="left" w:pos="6407"/>
          <w:tab w:val="left" w:pos="6804"/>
          <w:tab w:val="right" w:pos="9044"/>
          <w:tab w:val="right" w:pos="10132"/>
        </w:tabs>
        <w:spacing w:after="0" w:line="288" w:lineRule="auto"/>
        <w:ind w:left="6804" w:hanging="6804"/>
        <w:rPr>
          <w:rFonts w:cs="Arial"/>
        </w:rPr>
      </w:pPr>
    </w:p>
    <w:p w:rsidR="00811398" w:rsidRDefault="004247B2" w:rsidP="00230950">
      <w:pPr>
        <w:spacing w:after="0" w:line="240" w:lineRule="auto"/>
        <w:rPr>
          <w:rFonts w:cstheme="minorHAnsi"/>
          <w:b/>
          <w:sz w:val="26"/>
          <w:szCs w:val="26"/>
        </w:rPr>
      </w:pPr>
      <w:r>
        <w:rPr>
          <w:rFonts w:cstheme="minorHAnsi"/>
          <w:b/>
          <w:sz w:val="26"/>
          <w:szCs w:val="26"/>
        </w:rPr>
        <w:t>Aftale om</w:t>
      </w:r>
      <w:r w:rsidR="0068637E" w:rsidRPr="00500C78">
        <w:rPr>
          <w:rFonts w:cstheme="minorHAnsi"/>
          <w:b/>
          <w:sz w:val="26"/>
          <w:szCs w:val="26"/>
        </w:rPr>
        <w:t xml:space="preserve"> ny samarbejdsmodel for Tinglysningsrettens deltagelse i </w:t>
      </w:r>
      <w:r w:rsidR="00DA1F34">
        <w:rPr>
          <w:rFonts w:cstheme="minorHAnsi"/>
          <w:b/>
          <w:sz w:val="26"/>
          <w:szCs w:val="26"/>
        </w:rPr>
        <w:t>Ejendomsdataprogrammet (GD1)</w:t>
      </w:r>
    </w:p>
    <w:p w:rsidR="00A57028" w:rsidRPr="00500C78" w:rsidRDefault="00A57028" w:rsidP="00230950">
      <w:pPr>
        <w:autoSpaceDE w:val="0"/>
        <w:autoSpaceDN w:val="0"/>
        <w:adjustRightInd w:val="0"/>
        <w:spacing w:after="0" w:line="240" w:lineRule="auto"/>
        <w:rPr>
          <w:rFonts w:cstheme="minorHAnsi"/>
          <w:bCs/>
          <w:color w:val="000000" w:themeColor="text1"/>
        </w:rPr>
      </w:pPr>
    </w:p>
    <w:p w:rsidR="0068637E" w:rsidRDefault="0068637E" w:rsidP="00AD6923">
      <w:pPr>
        <w:pStyle w:val="Almindeligtekst"/>
        <w:rPr>
          <w:rFonts w:asciiTheme="minorHAnsi" w:hAnsiTheme="minorHAnsi"/>
          <w:color w:val="000000"/>
          <w:sz w:val="22"/>
          <w:szCs w:val="22"/>
        </w:rPr>
      </w:pPr>
      <w:r w:rsidRPr="00DB12B3">
        <w:rPr>
          <w:rFonts w:asciiTheme="minorHAnsi" w:hAnsiTheme="minorHAnsi" w:cstheme="minorHAnsi"/>
          <w:b/>
          <w:sz w:val="22"/>
          <w:szCs w:val="22"/>
        </w:rPr>
        <w:t>Baggrund</w:t>
      </w:r>
      <w:r w:rsidR="00714CA7">
        <w:rPr>
          <w:rFonts w:asciiTheme="minorHAnsi" w:hAnsiTheme="minorHAnsi" w:cstheme="minorHAnsi"/>
          <w:b/>
          <w:sz w:val="22"/>
          <w:szCs w:val="22"/>
        </w:rPr>
        <w:t xml:space="preserve"> og problemstilling</w:t>
      </w:r>
      <w:r w:rsidR="00811398" w:rsidRPr="00DB12B3">
        <w:rPr>
          <w:rFonts w:asciiTheme="minorHAnsi" w:hAnsiTheme="minorHAnsi" w:cstheme="minorHAnsi"/>
          <w:b/>
          <w:sz w:val="22"/>
          <w:szCs w:val="22"/>
        </w:rPr>
        <w:br/>
      </w:r>
      <w:r w:rsidR="002C3B89">
        <w:rPr>
          <w:rFonts w:asciiTheme="minorHAnsi" w:hAnsiTheme="minorHAnsi"/>
          <w:color w:val="000000"/>
          <w:sz w:val="22"/>
          <w:szCs w:val="22"/>
        </w:rPr>
        <w:t xml:space="preserve">Domstolsstyrelsen </w:t>
      </w:r>
      <w:r w:rsidR="00DF7E86">
        <w:rPr>
          <w:rFonts w:asciiTheme="minorHAnsi" w:hAnsiTheme="minorHAnsi"/>
          <w:color w:val="000000"/>
          <w:sz w:val="22"/>
          <w:szCs w:val="22"/>
        </w:rPr>
        <w:t>(</w:t>
      </w:r>
      <w:r w:rsidR="00F66AB0">
        <w:rPr>
          <w:rFonts w:asciiTheme="minorHAnsi" w:hAnsiTheme="minorHAnsi"/>
          <w:color w:val="000000"/>
          <w:sz w:val="22"/>
          <w:szCs w:val="22"/>
        </w:rPr>
        <w:t>DMST</w:t>
      </w:r>
      <w:r w:rsidR="00DF7E86">
        <w:rPr>
          <w:rFonts w:asciiTheme="minorHAnsi" w:hAnsiTheme="minorHAnsi"/>
          <w:color w:val="000000"/>
          <w:sz w:val="22"/>
          <w:szCs w:val="22"/>
        </w:rPr>
        <w:t xml:space="preserve">) </w:t>
      </w:r>
      <w:r w:rsidR="002C3B89">
        <w:rPr>
          <w:rFonts w:asciiTheme="minorHAnsi" w:hAnsiTheme="minorHAnsi"/>
          <w:color w:val="000000"/>
          <w:sz w:val="22"/>
          <w:szCs w:val="22"/>
        </w:rPr>
        <w:t xml:space="preserve">repræsenteret ved </w:t>
      </w:r>
      <w:r w:rsidRPr="00DB12B3">
        <w:rPr>
          <w:rFonts w:asciiTheme="minorHAnsi" w:hAnsiTheme="minorHAnsi"/>
          <w:color w:val="000000"/>
          <w:sz w:val="22"/>
          <w:szCs w:val="22"/>
        </w:rPr>
        <w:t>Tinglysningsretten (TLR) deltag</w:t>
      </w:r>
      <w:r w:rsidR="00DA1F34">
        <w:rPr>
          <w:rFonts w:asciiTheme="minorHAnsi" w:hAnsiTheme="minorHAnsi"/>
          <w:color w:val="000000"/>
          <w:sz w:val="22"/>
          <w:szCs w:val="22"/>
        </w:rPr>
        <w:t xml:space="preserve">er </w:t>
      </w:r>
      <w:r w:rsidR="003965C5">
        <w:rPr>
          <w:rFonts w:asciiTheme="minorHAnsi" w:hAnsiTheme="minorHAnsi"/>
          <w:color w:val="000000"/>
          <w:sz w:val="22"/>
          <w:szCs w:val="22"/>
        </w:rPr>
        <w:t xml:space="preserve">i </w:t>
      </w:r>
      <w:r w:rsidR="00DA1F34">
        <w:rPr>
          <w:rFonts w:asciiTheme="minorHAnsi" w:hAnsiTheme="minorHAnsi"/>
          <w:color w:val="000000"/>
          <w:sz w:val="22"/>
          <w:szCs w:val="22"/>
        </w:rPr>
        <w:t>E</w:t>
      </w:r>
      <w:r w:rsidR="002C3B89">
        <w:rPr>
          <w:rFonts w:asciiTheme="minorHAnsi" w:hAnsiTheme="minorHAnsi"/>
          <w:color w:val="000000"/>
          <w:sz w:val="22"/>
          <w:szCs w:val="22"/>
        </w:rPr>
        <w:t xml:space="preserve">jendomsdataprogrammet </w:t>
      </w:r>
      <w:r w:rsidRPr="00DB12B3">
        <w:rPr>
          <w:rFonts w:asciiTheme="minorHAnsi" w:hAnsiTheme="minorHAnsi"/>
          <w:color w:val="000000"/>
          <w:sz w:val="22"/>
          <w:szCs w:val="22"/>
        </w:rPr>
        <w:t>og har i</w:t>
      </w:r>
      <w:r w:rsidR="00DA1F34">
        <w:rPr>
          <w:rFonts w:asciiTheme="minorHAnsi" w:hAnsiTheme="minorHAnsi"/>
          <w:color w:val="000000"/>
          <w:sz w:val="22"/>
          <w:szCs w:val="22"/>
        </w:rPr>
        <w:t xml:space="preserve"> henhold til </w:t>
      </w:r>
      <w:r w:rsidR="00500C78" w:rsidRPr="00DB12B3">
        <w:rPr>
          <w:rFonts w:asciiTheme="minorHAnsi" w:hAnsiTheme="minorHAnsi"/>
          <w:color w:val="000000"/>
          <w:sz w:val="22"/>
          <w:szCs w:val="22"/>
        </w:rPr>
        <w:t>del</w:t>
      </w:r>
      <w:r w:rsidRPr="00DB12B3">
        <w:rPr>
          <w:rFonts w:asciiTheme="minorHAnsi" w:hAnsiTheme="minorHAnsi"/>
          <w:color w:val="000000"/>
          <w:sz w:val="22"/>
          <w:szCs w:val="22"/>
        </w:rPr>
        <w:t>aftale</w:t>
      </w:r>
      <w:r w:rsidR="002A27D4" w:rsidRPr="00DB12B3">
        <w:rPr>
          <w:rFonts w:asciiTheme="minorHAnsi" w:hAnsiTheme="minorHAnsi"/>
          <w:color w:val="000000"/>
          <w:sz w:val="22"/>
          <w:szCs w:val="22"/>
        </w:rPr>
        <w:t xml:space="preserve"> 1 og programstyringsdo</w:t>
      </w:r>
      <w:r w:rsidR="00500C78" w:rsidRPr="00DB12B3">
        <w:rPr>
          <w:rFonts w:asciiTheme="minorHAnsi" w:hAnsiTheme="minorHAnsi"/>
          <w:color w:val="000000"/>
          <w:sz w:val="22"/>
          <w:szCs w:val="22"/>
        </w:rPr>
        <w:t>kumentet</w:t>
      </w:r>
      <w:r w:rsidR="00DF7E86">
        <w:rPr>
          <w:rFonts w:asciiTheme="minorHAnsi" w:hAnsiTheme="minorHAnsi"/>
          <w:color w:val="000000"/>
          <w:sz w:val="22"/>
          <w:szCs w:val="22"/>
        </w:rPr>
        <w:t xml:space="preserve"> </w:t>
      </w:r>
      <w:r w:rsidRPr="00DB12B3">
        <w:rPr>
          <w:rFonts w:asciiTheme="minorHAnsi" w:hAnsiTheme="minorHAnsi"/>
          <w:color w:val="000000"/>
          <w:sz w:val="22"/>
          <w:szCs w:val="22"/>
        </w:rPr>
        <w:t>følgende opgaver</w:t>
      </w:r>
      <w:r w:rsidR="002C3B89">
        <w:rPr>
          <w:rFonts w:asciiTheme="minorHAnsi" w:hAnsiTheme="minorHAnsi"/>
          <w:color w:val="000000"/>
          <w:sz w:val="22"/>
          <w:szCs w:val="22"/>
        </w:rPr>
        <w:t xml:space="preserve"> i forhold til den nye Ejerfortegnelse</w:t>
      </w:r>
      <w:r w:rsidR="003965C5">
        <w:rPr>
          <w:rFonts w:asciiTheme="minorHAnsi" w:hAnsiTheme="minorHAnsi"/>
          <w:color w:val="000000"/>
          <w:sz w:val="22"/>
          <w:szCs w:val="22"/>
        </w:rPr>
        <w:t xml:space="preserve">, som er en </w:t>
      </w:r>
      <w:r w:rsidR="002C3B89">
        <w:rPr>
          <w:rFonts w:asciiTheme="minorHAnsi" w:hAnsiTheme="minorHAnsi"/>
          <w:color w:val="000000"/>
          <w:sz w:val="22"/>
          <w:szCs w:val="22"/>
        </w:rPr>
        <w:t>erstatning for den registrering af ejendomsejere og administratorer, som i dag sker i ESR</w:t>
      </w:r>
      <w:r w:rsidRPr="00DB12B3">
        <w:rPr>
          <w:rFonts w:asciiTheme="minorHAnsi" w:hAnsiTheme="minorHAnsi"/>
          <w:color w:val="000000"/>
          <w:sz w:val="22"/>
          <w:szCs w:val="22"/>
        </w:rPr>
        <w:t>:</w:t>
      </w:r>
    </w:p>
    <w:p w:rsidR="000D21CA" w:rsidRPr="00950099" w:rsidRDefault="00DA1F34" w:rsidP="00950099">
      <w:pPr>
        <w:pStyle w:val="Almindeligtekst"/>
        <w:numPr>
          <w:ilvl w:val="0"/>
          <w:numId w:val="14"/>
        </w:numPr>
        <w:rPr>
          <w:rFonts w:asciiTheme="minorHAnsi" w:hAnsiTheme="minorHAnsi"/>
          <w:color w:val="000000"/>
          <w:sz w:val="22"/>
          <w:szCs w:val="22"/>
        </w:rPr>
      </w:pPr>
      <w:r w:rsidRPr="00950099">
        <w:rPr>
          <w:rFonts w:asciiTheme="minorHAnsi" w:hAnsiTheme="minorHAnsi"/>
          <w:color w:val="000000"/>
          <w:sz w:val="22"/>
          <w:szCs w:val="22"/>
        </w:rPr>
        <w:t>I tilknytning til Tingbogen etableres en Ejerfortegnelse</w:t>
      </w:r>
      <w:r w:rsidR="00950099">
        <w:rPr>
          <w:rFonts w:asciiTheme="minorHAnsi" w:hAnsiTheme="minorHAnsi"/>
          <w:color w:val="000000"/>
          <w:sz w:val="22"/>
          <w:szCs w:val="22"/>
        </w:rPr>
        <w:t>,</w:t>
      </w:r>
      <w:r w:rsidR="00950099" w:rsidRPr="00950099">
        <w:rPr>
          <w:rFonts w:asciiTheme="minorHAnsi" w:hAnsiTheme="minorHAnsi"/>
          <w:color w:val="000000"/>
          <w:sz w:val="22"/>
          <w:szCs w:val="22"/>
        </w:rPr>
        <w:t xml:space="preserve"> bl.a. til erstatning for </w:t>
      </w:r>
      <w:r w:rsidR="00F13462">
        <w:rPr>
          <w:rFonts w:asciiTheme="minorHAnsi" w:hAnsiTheme="minorHAnsi"/>
          <w:color w:val="000000"/>
          <w:sz w:val="22"/>
          <w:szCs w:val="22"/>
        </w:rPr>
        <w:t xml:space="preserve">ESR’s </w:t>
      </w:r>
      <w:r w:rsidR="00950099" w:rsidRPr="00950099">
        <w:rPr>
          <w:rFonts w:asciiTheme="minorHAnsi" w:hAnsiTheme="minorHAnsi"/>
          <w:color w:val="000000"/>
          <w:sz w:val="22"/>
          <w:szCs w:val="22"/>
        </w:rPr>
        <w:t>ejerregistrering.</w:t>
      </w:r>
      <w:r w:rsidRPr="00950099">
        <w:rPr>
          <w:rFonts w:asciiTheme="minorHAnsi" w:hAnsiTheme="minorHAnsi"/>
          <w:color w:val="000000"/>
          <w:sz w:val="22"/>
          <w:szCs w:val="22"/>
        </w:rPr>
        <w:t xml:space="preserve"> </w:t>
      </w:r>
      <w:r w:rsidR="000D21CA" w:rsidRPr="00950099">
        <w:rPr>
          <w:rFonts w:asciiTheme="minorHAnsi" w:hAnsiTheme="minorHAnsi"/>
          <w:color w:val="000000"/>
          <w:sz w:val="22"/>
          <w:szCs w:val="22"/>
        </w:rPr>
        <w:t>Ejerfortegnelsen basere</w:t>
      </w:r>
      <w:r w:rsidR="00714CA7" w:rsidRPr="00950099">
        <w:rPr>
          <w:rFonts w:asciiTheme="minorHAnsi" w:hAnsiTheme="minorHAnsi"/>
          <w:color w:val="000000"/>
          <w:sz w:val="22"/>
          <w:szCs w:val="22"/>
        </w:rPr>
        <w:t>s</w:t>
      </w:r>
      <w:r w:rsidR="000D21CA" w:rsidRPr="00950099">
        <w:rPr>
          <w:rFonts w:asciiTheme="minorHAnsi" w:hAnsiTheme="minorHAnsi"/>
          <w:color w:val="000000"/>
          <w:sz w:val="22"/>
          <w:szCs w:val="22"/>
        </w:rPr>
        <w:t xml:space="preserve"> på Matriklens registrering af bestemt fast ejendom identificeret ved BFE-nr.</w:t>
      </w:r>
    </w:p>
    <w:p w:rsidR="002C3B89" w:rsidRPr="009B7F6E" w:rsidRDefault="00DA1F34" w:rsidP="009B7F6E">
      <w:pPr>
        <w:pStyle w:val="Almindeligtekst"/>
        <w:numPr>
          <w:ilvl w:val="0"/>
          <w:numId w:val="14"/>
        </w:numPr>
        <w:rPr>
          <w:rFonts w:asciiTheme="minorHAnsi" w:hAnsiTheme="minorHAnsi"/>
          <w:color w:val="000000"/>
          <w:sz w:val="22"/>
          <w:szCs w:val="22"/>
        </w:rPr>
      </w:pPr>
      <w:r w:rsidRPr="009B7F6E">
        <w:rPr>
          <w:rFonts w:asciiTheme="minorHAnsi" w:hAnsiTheme="minorHAnsi"/>
          <w:color w:val="000000"/>
          <w:sz w:val="22"/>
          <w:szCs w:val="22"/>
        </w:rPr>
        <w:t>Indberetning af ændringer i tinglyste og ikke-tinglyste ejerforhold indberettes fremover på en ensartet måde</w:t>
      </w:r>
      <w:r w:rsidR="00714CA7">
        <w:rPr>
          <w:rFonts w:asciiTheme="minorHAnsi" w:hAnsiTheme="minorHAnsi"/>
          <w:color w:val="000000"/>
          <w:sz w:val="22"/>
          <w:szCs w:val="22"/>
        </w:rPr>
        <w:t>. S</w:t>
      </w:r>
      <w:r w:rsidRPr="009B7F6E">
        <w:rPr>
          <w:rFonts w:asciiTheme="minorHAnsi" w:hAnsiTheme="minorHAnsi"/>
          <w:color w:val="000000"/>
          <w:sz w:val="22"/>
          <w:szCs w:val="22"/>
        </w:rPr>
        <w:t>amtidig indsamles efter nærmere aftale med kommunerne og SKAT oplysninger til brug for ejendomsbeskatningen.</w:t>
      </w:r>
    </w:p>
    <w:p w:rsidR="002C3B89" w:rsidRPr="009B7F6E" w:rsidRDefault="002C3B89" w:rsidP="009B7F6E">
      <w:pPr>
        <w:pStyle w:val="Almindeligtekst"/>
        <w:numPr>
          <w:ilvl w:val="0"/>
          <w:numId w:val="14"/>
        </w:numPr>
        <w:rPr>
          <w:rFonts w:asciiTheme="minorHAnsi" w:hAnsiTheme="minorHAnsi"/>
          <w:color w:val="000000"/>
          <w:sz w:val="22"/>
          <w:szCs w:val="22"/>
        </w:rPr>
      </w:pPr>
      <w:r w:rsidRPr="009B7F6E">
        <w:rPr>
          <w:rFonts w:asciiTheme="minorHAnsi" w:hAnsiTheme="minorHAnsi"/>
          <w:color w:val="000000"/>
          <w:sz w:val="22"/>
          <w:szCs w:val="22"/>
        </w:rPr>
        <w:t>Foged- og skifteretterne skal fremover</w:t>
      </w:r>
      <w:r w:rsidR="00950099">
        <w:rPr>
          <w:rStyle w:val="Fodnotehenvisning"/>
          <w:rFonts w:asciiTheme="minorHAnsi" w:hAnsiTheme="minorHAnsi"/>
          <w:color w:val="000000"/>
          <w:sz w:val="22"/>
          <w:szCs w:val="22"/>
        </w:rPr>
        <w:footnoteReference w:id="1"/>
      </w:r>
      <w:r w:rsidR="002B2090">
        <w:rPr>
          <w:rFonts w:asciiTheme="minorHAnsi" w:hAnsiTheme="minorHAnsi"/>
          <w:color w:val="000000"/>
          <w:sz w:val="22"/>
          <w:szCs w:val="22"/>
        </w:rPr>
        <w:t xml:space="preserve"> </w:t>
      </w:r>
      <w:r w:rsidRPr="009B7F6E">
        <w:rPr>
          <w:rFonts w:asciiTheme="minorHAnsi" w:hAnsiTheme="minorHAnsi"/>
          <w:color w:val="000000"/>
          <w:sz w:val="22"/>
          <w:szCs w:val="22"/>
        </w:rPr>
        <w:t>indberette oplysninger om ejerskifte</w:t>
      </w:r>
      <w:r w:rsidR="00F15EB7">
        <w:rPr>
          <w:rFonts w:asciiTheme="minorHAnsi" w:hAnsiTheme="minorHAnsi"/>
          <w:color w:val="000000"/>
          <w:sz w:val="22"/>
          <w:szCs w:val="22"/>
        </w:rPr>
        <w:t xml:space="preserve"> </w:t>
      </w:r>
      <w:r w:rsidRPr="009B7F6E">
        <w:rPr>
          <w:rFonts w:asciiTheme="minorHAnsi" w:hAnsiTheme="minorHAnsi"/>
          <w:color w:val="000000"/>
          <w:sz w:val="22"/>
          <w:szCs w:val="22"/>
        </w:rPr>
        <w:t>direkte til Tingbogen og/eller Ejerfortegnelsen</w:t>
      </w:r>
      <w:r w:rsidR="00F15EB7">
        <w:rPr>
          <w:rFonts w:asciiTheme="minorHAnsi" w:hAnsiTheme="minorHAnsi"/>
          <w:color w:val="000000"/>
          <w:sz w:val="22"/>
          <w:szCs w:val="22"/>
        </w:rPr>
        <w:t xml:space="preserve"> via Tinglysningsportalen</w:t>
      </w:r>
      <w:r w:rsidRPr="009B7F6E">
        <w:rPr>
          <w:rFonts w:asciiTheme="minorHAnsi" w:hAnsiTheme="minorHAnsi"/>
          <w:color w:val="000000"/>
          <w:sz w:val="22"/>
          <w:szCs w:val="22"/>
        </w:rPr>
        <w:t>.</w:t>
      </w:r>
    </w:p>
    <w:p w:rsidR="00DF7E86" w:rsidRPr="009B7F6E" w:rsidRDefault="00DF7E86" w:rsidP="009B7F6E">
      <w:pPr>
        <w:pStyle w:val="Almindeligtekst"/>
        <w:numPr>
          <w:ilvl w:val="0"/>
          <w:numId w:val="14"/>
        </w:numPr>
        <w:rPr>
          <w:rFonts w:asciiTheme="minorHAnsi" w:hAnsiTheme="minorHAnsi"/>
          <w:color w:val="000000"/>
          <w:sz w:val="22"/>
          <w:szCs w:val="22"/>
        </w:rPr>
      </w:pPr>
      <w:r w:rsidRPr="009B7F6E">
        <w:rPr>
          <w:rFonts w:asciiTheme="minorHAnsi" w:hAnsiTheme="minorHAnsi"/>
          <w:color w:val="000000"/>
          <w:sz w:val="22"/>
          <w:szCs w:val="22"/>
        </w:rPr>
        <w:t>Ejerfortegnelsens oplysninger udstilles via den fællesoffentlige datafordeler.</w:t>
      </w:r>
    </w:p>
    <w:p w:rsidR="00DF7E86" w:rsidRDefault="00DF7E86" w:rsidP="00DF7E86">
      <w:pPr>
        <w:spacing w:after="0" w:line="280" w:lineRule="atLeast"/>
      </w:pPr>
    </w:p>
    <w:p w:rsidR="002C3B89" w:rsidRDefault="00DF7E86" w:rsidP="002C3B89">
      <w:pPr>
        <w:spacing w:after="0" w:line="280" w:lineRule="atLeast"/>
      </w:pPr>
      <w:r>
        <w:t xml:space="preserve">Desuden har </w:t>
      </w:r>
      <w:r w:rsidR="00F66AB0">
        <w:t>DMST</w:t>
      </w:r>
      <w:r>
        <w:t xml:space="preserve">/TLR </w:t>
      </w:r>
      <w:r w:rsidR="009B7F6E">
        <w:t>opgaver i relation til</w:t>
      </w:r>
      <w:r w:rsidR="00BD2B78">
        <w:t>,</w:t>
      </w:r>
      <w:r w:rsidR="009B7F6E">
        <w:t xml:space="preserve"> </w:t>
      </w:r>
      <w:r w:rsidR="00714CA7">
        <w:t xml:space="preserve">at </w:t>
      </w:r>
      <w:r w:rsidR="009B7F6E">
        <w:t xml:space="preserve">den fremtidige </w:t>
      </w:r>
      <w:r w:rsidR="00271E4F">
        <w:t xml:space="preserve">ejendomsdannelse af alle typer </w:t>
      </w:r>
      <w:r w:rsidR="009B7F6E">
        <w:t xml:space="preserve">af fast ejendom </w:t>
      </w:r>
      <w:r w:rsidR="003965C5">
        <w:t xml:space="preserve">skal ske </w:t>
      </w:r>
      <w:r w:rsidR="009B7F6E">
        <w:t>i Matriklen under det fælles ejendomsbeg</w:t>
      </w:r>
      <w:r w:rsidR="003965C5">
        <w:t>reb: Bestemt fast ejendom (BFE). Disse opgaver omfatter bl.a.</w:t>
      </w:r>
    </w:p>
    <w:p w:rsidR="00DA1F34" w:rsidRPr="009B7F6E" w:rsidRDefault="00DA1F34" w:rsidP="009B7F6E">
      <w:pPr>
        <w:pStyle w:val="Almindeligtekst"/>
        <w:numPr>
          <w:ilvl w:val="0"/>
          <w:numId w:val="15"/>
        </w:numPr>
        <w:rPr>
          <w:rFonts w:asciiTheme="minorHAnsi" w:hAnsiTheme="minorHAnsi"/>
          <w:color w:val="000000"/>
          <w:sz w:val="22"/>
          <w:szCs w:val="22"/>
        </w:rPr>
      </w:pPr>
      <w:r w:rsidRPr="009B7F6E">
        <w:rPr>
          <w:rFonts w:asciiTheme="minorHAnsi" w:hAnsiTheme="minorHAnsi"/>
          <w:color w:val="000000"/>
          <w:sz w:val="22"/>
          <w:szCs w:val="22"/>
        </w:rPr>
        <w:t xml:space="preserve">Registreringen af </w:t>
      </w:r>
      <w:r w:rsidR="005826E2">
        <w:rPr>
          <w:rFonts w:asciiTheme="minorHAnsi" w:hAnsiTheme="minorHAnsi"/>
          <w:color w:val="000000"/>
          <w:sz w:val="22"/>
          <w:szCs w:val="22"/>
        </w:rPr>
        <w:t xml:space="preserve">rettighederne til </w:t>
      </w:r>
      <w:r w:rsidRPr="009B7F6E">
        <w:rPr>
          <w:rFonts w:asciiTheme="minorHAnsi" w:hAnsiTheme="minorHAnsi"/>
          <w:color w:val="000000"/>
          <w:sz w:val="22"/>
          <w:szCs w:val="22"/>
        </w:rPr>
        <w:t>ejendomme i Tingbogen sker</w:t>
      </w:r>
      <w:r w:rsidR="00E71AD2">
        <w:rPr>
          <w:rFonts w:asciiTheme="minorHAnsi" w:hAnsiTheme="minorHAnsi"/>
          <w:color w:val="000000"/>
          <w:sz w:val="22"/>
          <w:szCs w:val="22"/>
        </w:rPr>
        <w:t xml:space="preserve"> </w:t>
      </w:r>
      <w:r w:rsidRPr="009B7F6E">
        <w:rPr>
          <w:rFonts w:asciiTheme="minorHAnsi" w:hAnsiTheme="minorHAnsi"/>
          <w:color w:val="000000"/>
          <w:sz w:val="22"/>
          <w:szCs w:val="22"/>
        </w:rPr>
        <w:t>for så vidt angår de ejendomme, der findes i matriklen, på grundlag af oplysninger herfra</w:t>
      </w:r>
    </w:p>
    <w:p w:rsidR="00A471DE" w:rsidRDefault="00A471DE" w:rsidP="009B7F6E">
      <w:pPr>
        <w:pStyle w:val="Almindeligtekst"/>
        <w:numPr>
          <w:ilvl w:val="0"/>
          <w:numId w:val="15"/>
        </w:numPr>
        <w:rPr>
          <w:rFonts w:asciiTheme="minorHAnsi" w:hAnsiTheme="minorHAnsi"/>
          <w:color w:val="000000"/>
          <w:sz w:val="22"/>
          <w:szCs w:val="22"/>
        </w:rPr>
      </w:pPr>
      <w:r>
        <w:rPr>
          <w:rFonts w:asciiTheme="minorHAnsi" w:hAnsiTheme="minorHAnsi"/>
          <w:color w:val="000000"/>
          <w:sz w:val="22"/>
          <w:szCs w:val="22"/>
        </w:rPr>
        <w:t>Tilpasning af Tinglysningssystemet til</w:t>
      </w:r>
      <w:r w:rsidR="00271E4F">
        <w:rPr>
          <w:rFonts w:asciiTheme="minorHAnsi" w:hAnsiTheme="minorHAnsi"/>
          <w:color w:val="000000"/>
          <w:sz w:val="22"/>
          <w:szCs w:val="22"/>
        </w:rPr>
        <w:t xml:space="preserve"> at</w:t>
      </w:r>
      <w:r>
        <w:rPr>
          <w:rFonts w:asciiTheme="minorHAnsi" w:hAnsiTheme="minorHAnsi"/>
          <w:color w:val="000000"/>
          <w:sz w:val="22"/>
          <w:szCs w:val="22"/>
        </w:rPr>
        <w:t xml:space="preserve"> kunne identificere samlede faste ejendomme, ejerlejligheder og bygninger på fremmed grund ved BFE-nr.</w:t>
      </w:r>
    </w:p>
    <w:p w:rsidR="00FD547B" w:rsidRDefault="00A471DE" w:rsidP="009B7F6E">
      <w:pPr>
        <w:pStyle w:val="Almindeligtekst"/>
        <w:numPr>
          <w:ilvl w:val="0"/>
          <w:numId w:val="15"/>
        </w:numPr>
        <w:rPr>
          <w:rFonts w:asciiTheme="minorHAnsi" w:hAnsiTheme="minorHAnsi"/>
          <w:color w:val="000000"/>
          <w:sz w:val="22"/>
          <w:szCs w:val="22"/>
        </w:rPr>
      </w:pPr>
      <w:r>
        <w:rPr>
          <w:rFonts w:asciiTheme="minorHAnsi" w:hAnsiTheme="minorHAnsi"/>
          <w:color w:val="000000"/>
          <w:sz w:val="22"/>
          <w:szCs w:val="22"/>
        </w:rPr>
        <w:t>Bidrage</w:t>
      </w:r>
      <w:r w:rsidR="00FD547B">
        <w:rPr>
          <w:rFonts w:asciiTheme="minorHAnsi" w:hAnsiTheme="minorHAnsi"/>
          <w:color w:val="000000"/>
          <w:sz w:val="22"/>
          <w:szCs w:val="22"/>
        </w:rPr>
        <w:t xml:space="preserve"> med data og viden til kvalitetssikring (datavask) vedr. ejendomstyperne: jordstykker, ejerlejligheder og bygning på fremmed grund.</w:t>
      </w:r>
    </w:p>
    <w:p w:rsidR="0068637E" w:rsidRDefault="0068637E" w:rsidP="00AD6923">
      <w:pPr>
        <w:pStyle w:val="Almindeligtekst"/>
        <w:rPr>
          <w:rFonts w:asciiTheme="minorHAnsi" w:hAnsiTheme="minorHAnsi"/>
          <w:color w:val="000000"/>
          <w:sz w:val="22"/>
          <w:szCs w:val="22"/>
        </w:rPr>
      </w:pPr>
    </w:p>
    <w:p w:rsidR="00A471DE" w:rsidRDefault="00A471DE" w:rsidP="00AD6923">
      <w:pPr>
        <w:pStyle w:val="Almindeligtekst"/>
        <w:rPr>
          <w:rFonts w:asciiTheme="minorHAnsi" w:hAnsiTheme="minorHAnsi"/>
          <w:color w:val="000000"/>
          <w:sz w:val="22"/>
          <w:szCs w:val="22"/>
        </w:rPr>
      </w:pPr>
      <w:r>
        <w:rPr>
          <w:rFonts w:asciiTheme="minorHAnsi" w:hAnsiTheme="minorHAnsi"/>
          <w:color w:val="000000"/>
          <w:sz w:val="22"/>
          <w:szCs w:val="22"/>
        </w:rPr>
        <w:t>Ovenstående opgørelse af TLR’s opgaver i relation til GD1</w:t>
      </w:r>
      <w:r w:rsidR="00271E4F">
        <w:rPr>
          <w:rFonts w:asciiTheme="minorHAnsi" w:hAnsiTheme="minorHAnsi"/>
          <w:color w:val="000000"/>
          <w:sz w:val="22"/>
          <w:szCs w:val="22"/>
        </w:rPr>
        <w:t xml:space="preserve"> er</w:t>
      </w:r>
      <w:r>
        <w:rPr>
          <w:rFonts w:asciiTheme="minorHAnsi" w:hAnsiTheme="minorHAnsi"/>
          <w:color w:val="000000"/>
          <w:sz w:val="22"/>
          <w:szCs w:val="22"/>
        </w:rPr>
        <w:t xml:space="preserve"> ikke udtømmende. </w:t>
      </w:r>
    </w:p>
    <w:p w:rsidR="00A471DE" w:rsidRDefault="00A471DE" w:rsidP="00AD6923">
      <w:pPr>
        <w:pStyle w:val="Almindeligtekst"/>
        <w:rPr>
          <w:rFonts w:asciiTheme="minorHAnsi" w:hAnsiTheme="minorHAnsi"/>
          <w:color w:val="000000"/>
          <w:sz w:val="22"/>
          <w:szCs w:val="22"/>
        </w:rPr>
      </w:pPr>
    </w:p>
    <w:p w:rsidR="00271E4F" w:rsidRDefault="00905DBB" w:rsidP="00905DBB">
      <w:pPr>
        <w:pStyle w:val="NormalWeb"/>
        <w:rPr>
          <w:rFonts w:asciiTheme="minorHAnsi" w:hAnsiTheme="minorHAnsi"/>
          <w:iCs/>
          <w:sz w:val="22"/>
          <w:szCs w:val="22"/>
        </w:rPr>
      </w:pPr>
      <w:r>
        <w:rPr>
          <w:rFonts w:ascii="Calibri" w:hAnsi="Calibri"/>
          <w:color w:val="000000"/>
          <w:sz w:val="22"/>
          <w:szCs w:val="22"/>
        </w:rPr>
        <w:t xml:space="preserve">Det har vist sig, at det ikke er </w:t>
      </w:r>
      <w:r w:rsidR="00271E4F">
        <w:rPr>
          <w:rFonts w:ascii="Calibri" w:hAnsi="Calibri"/>
          <w:color w:val="000000"/>
          <w:sz w:val="22"/>
          <w:szCs w:val="22"/>
        </w:rPr>
        <w:t>hensigtsmæssigt</w:t>
      </w:r>
      <w:r>
        <w:rPr>
          <w:rFonts w:ascii="Calibri" w:hAnsi="Calibri"/>
          <w:color w:val="000000"/>
          <w:sz w:val="22"/>
          <w:szCs w:val="22"/>
        </w:rPr>
        <w:t xml:space="preserve"> for TLR at indgå i projektsamarbejdet på de vilkår</w:t>
      </w:r>
      <w:r w:rsidR="00BD2B78">
        <w:rPr>
          <w:rFonts w:ascii="Calibri" w:hAnsi="Calibri"/>
          <w:color w:val="000000"/>
          <w:sz w:val="22"/>
          <w:szCs w:val="22"/>
        </w:rPr>
        <w:t>,</w:t>
      </w:r>
      <w:r>
        <w:rPr>
          <w:rFonts w:ascii="Calibri" w:hAnsi="Calibri"/>
          <w:color w:val="000000"/>
          <w:sz w:val="22"/>
          <w:szCs w:val="22"/>
        </w:rPr>
        <w:t xml:space="preserve"> som ligger til grund </w:t>
      </w:r>
      <w:r w:rsidR="00BD2B78">
        <w:rPr>
          <w:rFonts w:ascii="Calibri" w:hAnsi="Calibri"/>
          <w:color w:val="000000"/>
          <w:sz w:val="22"/>
          <w:szCs w:val="22"/>
        </w:rPr>
        <w:t xml:space="preserve">for </w:t>
      </w:r>
      <w:r>
        <w:rPr>
          <w:rFonts w:ascii="Calibri" w:hAnsi="Calibri"/>
          <w:color w:val="000000"/>
          <w:sz w:val="22"/>
          <w:szCs w:val="22"/>
        </w:rPr>
        <w:t xml:space="preserve">aftalen om GD1. </w:t>
      </w:r>
      <w:r w:rsidR="00BD5D10">
        <w:rPr>
          <w:rFonts w:ascii="Calibri" w:hAnsi="Calibri"/>
          <w:color w:val="000000"/>
          <w:sz w:val="22"/>
          <w:szCs w:val="22"/>
        </w:rPr>
        <w:t>S</w:t>
      </w:r>
      <w:r>
        <w:rPr>
          <w:rFonts w:ascii="Calibri" w:hAnsi="Calibri"/>
          <w:color w:val="000000"/>
          <w:sz w:val="22"/>
          <w:szCs w:val="22"/>
        </w:rPr>
        <w:t>amarbejdsform</w:t>
      </w:r>
      <w:r w:rsidR="00BD5D10">
        <w:rPr>
          <w:rFonts w:ascii="Calibri" w:hAnsi="Calibri"/>
          <w:color w:val="000000"/>
          <w:sz w:val="22"/>
          <w:szCs w:val="22"/>
        </w:rPr>
        <w:t>en i GD1</w:t>
      </w:r>
      <w:r>
        <w:rPr>
          <w:rFonts w:ascii="Calibri" w:hAnsi="Calibri"/>
          <w:color w:val="000000"/>
          <w:sz w:val="22"/>
          <w:szCs w:val="22"/>
        </w:rPr>
        <w:t xml:space="preserve"> stiller krav om</w:t>
      </w:r>
      <w:r w:rsidR="00E71AD2">
        <w:rPr>
          <w:rFonts w:ascii="Calibri" w:hAnsi="Calibri"/>
          <w:color w:val="000000"/>
          <w:sz w:val="22"/>
          <w:szCs w:val="22"/>
        </w:rPr>
        <w:t xml:space="preserve"> </w:t>
      </w:r>
      <w:r>
        <w:rPr>
          <w:rFonts w:ascii="Calibri" w:hAnsi="Calibri"/>
          <w:color w:val="000000"/>
          <w:sz w:val="22"/>
          <w:szCs w:val="22"/>
        </w:rPr>
        <w:t xml:space="preserve">parternes tilstedeværelse og aktiv deltagelse i fælles aktiviteter, herunder </w:t>
      </w:r>
      <w:r w:rsidR="00FD71E9">
        <w:rPr>
          <w:rFonts w:ascii="Calibri" w:hAnsi="Calibri"/>
          <w:color w:val="000000"/>
          <w:sz w:val="22"/>
          <w:szCs w:val="22"/>
        </w:rPr>
        <w:t xml:space="preserve">krav om at parterne </w:t>
      </w:r>
      <w:r>
        <w:rPr>
          <w:rFonts w:ascii="Calibri" w:hAnsi="Calibri"/>
          <w:color w:val="000000"/>
          <w:sz w:val="22"/>
          <w:szCs w:val="22"/>
        </w:rPr>
        <w:t xml:space="preserve">er proaktive i forhold til </w:t>
      </w:r>
      <w:r w:rsidRPr="00DB12B3">
        <w:rPr>
          <w:rFonts w:asciiTheme="minorHAnsi" w:hAnsiTheme="minorHAnsi"/>
          <w:iCs/>
          <w:sz w:val="22"/>
          <w:szCs w:val="22"/>
        </w:rPr>
        <w:t>fælles afklaring, forventningsafstemning, detailplanlægning, kommunikation og interessenthåndtering.</w:t>
      </w:r>
      <w:r>
        <w:rPr>
          <w:rFonts w:asciiTheme="minorHAnsi" w:hAnsiTheme="minorHAnsi"/>
          <w:iCs/>
          <w:sz w:val="22"/>
          <w:szCs w:val="22"/>
        </w:rPr>
        <w:t xml:space="preserve"> </w:t>
      </w:r>
    </w:p>
    <w:p w:rsidR="00BD5D10" w:rsidRDefault="00BD5D10" w:rsidP="00905DBB">
      <w:pPr>
        <w:pStyle w:val="NormalWeb"/>
        <w:rPr>
          <w:rFonts w:asciiTheme="minorHAnsi" w:hAnsiTheme="minorHAnsi"/>
          <w:iCs/>
          <w:sz w:val="22"/>
          <w:szCs w:val="22"/>
        </w:rPr>
      </w:pPr>
    </w:p>
    <w:p w:rsidR="00905DBB" w:rsidRDefault="00A110A1" w:rsidP="00905DBB">
      <w:pPr>
        <w:pStyle w:val="NormalWeb"/>
        <w:rPr>
          <w:rFonts w:ascii="Calibri" w:hAnsi="Calibri"/>
          <w:color w:val="000000"/>
          <w:sz w:val="22"/>
          <w:szCs w:val="22"/>
        </w:rPr>
      </w:pPr>
      <w:r>
        <w:rPr>
          <w:rFonts w:asciiTheme="minorHAnsi" w:hAnsiTheme="minorHAnsi"/>
          <w:iCs/>
          <w:sz w:val="22"/>
          <w:szCs w:val="22"/>
        </w:rPr>
        <w:lastRenderedPageBreak/>
        <w:t xml:space="preserve">TLR’s </w:t>
      </w:r>
      <w:r w:rsidR="00271E4F">
        <w:rPr>
          <w:rFonts w:asciiTheme="minorHAnsi" w:hAnsiTheme="minorHAnsi"/>
          <w:iCs/>
          <w:sz w:val="22"/>
          <w:szCs w:val="22"/>
        </w:rPr>
        <w:t>begrænsede</w:t>
      </w:r>
      <w:r>
        <w:rPr>
          <w:rFonts w:asciiTheme="minorHAnsi" w:hAnsiTheme="minorHAnsi"/>
          <w:iCs/>
          <w:sz w:val="22"/>
          <w:szCs w:val="22"/>
        </w:rPr>
        <w:t xml:space="preserve"> deltagelse </w:t>
      </w:r>
      <w:r w:rsidR="00BD5D10">
        <w:rPr>
          <w:rFonts w:asciiTheme="minorHAnsi" w:hAnsiTheme="minorHAnsi"/>
          <w:iCs/>
          <w:sz w:val="22"/>
          <w:szCs w:val="22"/>
        </w:rPr>
        <w:t>i de fælles aktiviteter</w:t>
      </w:r>
      <w:r w:rsidR="00AE2E20">
        <w:rPr>
          <w:rFonts w:asciiTheme="minorHAnsi" w:hAnsiTheme="minorHAnsi"/>
          <w:iCs/>
          <w:sz w:val="22"/>
          <w:szCs w:val="22"/>
        </w:rPr>
        <w:t xml:space="preserve"> er</w:t>
      </w:r>
      <w:r>
        <w:rPr>
          <w:rFonts w:asciiTheme="minorHAnsi" w:hAnsiTheme="minorHAnsi"/>
          <w:iCs/>
          <w:sz w:val="22"/>
          <w:szCs w:val="22"/>
        </w:rPr>
        <w:t xml:space="preserve"> begrundet i</w:t>
      </w:r>
      <w:r w:rsidR="00405001">
        <w:rPr>
          <w:rFonts w:asciiTheme="minorHAnsi" w:hAnsiTheme="minorHAnsi"/>
          <w:iCs/>
          <w:sz w:val="22"/>
          <w:szCs w:val="22"/>
        </w:rPr>
        <w:t xml:space="preserve"> en konkret vurdering af projektets omfang set i forhold til TLR’s øvrige aktiviteter samt</w:t>
      </w:r>
      <w:r w:rsidR="00905DBB">
        <w:rPr>
          <w:rFonts w:ascii="Calibri" w:hAnsi="Calibri"/>
          <w:color w:val="000000"/>
          <w:sz w:val="22"/>
          <w:szCs w:val="22"/>
        </w:rPr>
        <w:t xml:space="preserve"> TLR’s geografiske afstand til København, hvor projektmøder og lign</w:t>
      </w:r>
      <w:r w:rsidR="00714CA7">
        <w:rPr>
          <w:rFonts w:ascii="Calibri" w:hAnsi="Calibri"/>
          <w:color w:val="000000"/>
          <w:sz w:val="22"/>
          <w:szCs w:val="22"/>
        </w:rPr>
        <w:t>ende</w:t>
      </w:r>
      <w:r w:rsidR="00905DBB">
        <w:rPr>
          <w:rFonts w:ascii="Calibri" w:hAnsi="Calibri"/>
          <w:color w:val="000000"/>
          <w:sz w:val="22"/>
          <w:szCs w:val="22"/>
        </w:rPr>
        <w:t xml:space="preserve"> </w:t>
      </w:r>
      <w:r w:rsidR="00714CA7">
        <w:rPr>
          <w:rFonts w:ascii="Calibri" w:hAnsi="Calibri"/>
          <w:color w:val="000000"/>
          <w:sz w:val="22"/>
          <w:szCs w:val="22"/>
        </w:rPr>
        <w:t xml:space="preserve">typisk </w:t>
      </w:r>
      <w:r w:rsidR="00905DBB">
        <w:rPr>
          <w:rFonts w:ascii="Calibri" w:hAnsi="Calibri"/>
          <w:color w:val="000000"/>
          <w:sz w:val="22"/>
          <w:szCs w:val="22"/>
        </w:rPr>
        <w:t>afholdes.</w:t>
      </w:r>
    </w:p>
    <w:p w:rsidR="00905DBB" w:rsidRDefault="00905DBB" w:rsidP="00AD6923">
      <w:pPr>
        <w:pStyle w:val="Almindeligtekst"/>
        <w:rPr>
          <w:rFonts w:asciiTheme="minorHAnsi" w:hAnsiTheme="minorHAnsi"/>
          <w:color w:val="000000"/>
          <w:sz w:val="22"/>
          <w:szCs w:val="22"/>
        </w:rPr>
      </w:pPr>
    </w:p>
    <w:p w:rsidR="00A110A1" w:rsidRDefault="00A110A1" w:rsidP="00A110A1">
      <w:pPr>
        <w:pStyle w:val="Default"/>
        <w:rPr>
          <w:rFonts w:ascii="Calibri" w:hAnsi="Calibri"/>
          <w:color w:val="auto"/>
          <w:sz w:val="22"/>
          <w:szCs w:val="22"/>
        </w:rPr>
      </w:pPr>
      <w:r>
        <w:rPr>
          <w:rFonts w:ascii="Calibri" w:hAnsi="Calibri"/>
          <w:color w:val="auto"/>
          <w:sz w:val="22"/>
          <w:szCs w:val="22"/>
        </w:rPr>
        <w:t>Det er afgørende for GD1’s fremdrift, at</w:t>
      </w:r>
      <w:r w:rsidR="00FD71E9">
        <w:rPr>
          <w:rFonts w:ascii="Calibri" w:hAnsi="Calibri"/>
          <w:color w:val="auto"/>
          <w:sz w:val="22"/>
          <w:szCs w:val="22"/>
        </w:rPr>
        <w:t xml:space="preserve"> der hurtigt etableres en tilfredsst</w:t>
      </w:r>
      <w:r>
        <w:rPr>
          <w:rFonts w:ascii="Calibri" w:hAnsi="Calibri"/>
          <w:color w:val="auto"/>
          <w:sz w:val="22"/>
          <w:szCs w:val="22"/>
        </w:rPr>
        <w:t xml:space="preserve">illende samarbejdsmodel for realisering </w:t>
      </w:r>
      <w:r w:rsidR="00DC574F">
        <w:rPr>
          <w:rFonts w:ascii="Calibri" w:hAnsi="Calibri"/>
          <w:color w:val="auto"/>
          <w:sz w:val="22"/>
          <w:szCs w:val="22"/>
        </w:rPr>
        <w:t>af aftalen</w:t>
      </w:r>
      <w:r>
        <w:rPr>
          <w:rFonts w:ascii="Calibri" w:hAnsi="Calibri"/>
          <w:color w:val="auto"/>
          <w:sz w:val="22"/>
          <w:szCs w:val="22"/>
        </w:rPr>
        <w:t xml:space="preserve"> om et nyt grunddataregister med oplysninger om </w:t>
      </w:r>
      <w:r w:rsidR="001A6108">
        <w:rPr>
          <w:rFonts w:ascii="Calibri" w:hAnsi="Calibri"/>
          <w:color w:val="auto"/>
          <w:sz w:val="22"/>
          <w:szCs w:val="22"/>
        </w:rPr>
        <w:t xml:space="preserve">faktiske </w:t>
      </w:r>
      <w:r w:rsidR="00FD71E9">
        <w:rPr>
          <w:rFonts w:ascii="Calibri" w:hAnsi="Calibri"/>
          <w:color w:val="auto"/>
          <w:sz w:val="22"/>
          <w:szCs w:val="22"/>
        </w:rPr>
        <w:t xml:space="preserve">ejere </w:t>
      </w:r>
      <w:r>
        <w:rPr>
          <w:rFonts w:ascii="Calibri" w:hAnsi="Calibri"/>
          <w:color w:val="auto"/>
          <w:sz w:val="22"/>
          <w:szCs w:val="22"/>
        </w:rPr>
        <w:t>og evt.</w:t>
      </w:r>
      <w:r w:rsidR="00FD71E9">
        <w:rPr>
          <w:rFonts w:ascii="Calibri" w:hAnsi="Calibri"/>
          <w:color w:val="auto"/>
          <w:sz w:val="22"/>
          <w:szCs w:val="22"/>
        </w:rPr>
        <w:t xml:space="preserve"> </w:t>
      </w:r>
      <w:r>
        <w:rPr>
          <w:rFonts w:ascii="Calibri" w:hAnsi="Calibri"/>
          <w:color w:val="auto"/>
          <w:sz w:val="22"/>
          <w:szCs w:val="22"/>
        </w:rPr>
        <w:t xml:space="preserve">administratorer af landets faste ejendomme. </w:t>
      </w:r>
      <w:r w:rsidRPr="00A110A1">
        <w:rPr>
          <w:rFonts w:ascii="Calibri" w:hAnsi="Calibri"/>
          <w:iCs/>
          <w:color w:val="auto"/>
          <w:sz w:val="22"/>
          <w:szCs w:val="22"/>
        </w:rPr>
        <w:t xml:space="preserve">Ajourførte oplysninger om </w:t>
      </w:r>
      <w:r w:rsidR="001A6108">
        <w:rPr>
          <w:rFonts w:ascii="Calibri" w:hAnsi="Calibri"/>
          <w:iCs/>
          <w:color w:val="auto"/>
          <w:sz w:val="22"/>
          <w:szCs w:val="22"/>
        </w:rPr>
        <w:t xml:space="preserve">faktiske </w:t>
      </w:r>
      <w:r w:rsidRPr="00A110A1">
        <w:rPr>
          <w:rFonts w:ascii="Calibri" w:hAnsi="Calibri"/>
          <w:iCs/>
          <w:color w:val="auto"/>
          <w:sz w:val="22"/>
          <w:szCs w:val="22"/>
        </w:rPr>
        <w:t>ejendomsejere og administratorer er vitale for både den kommunale og statslige ejendomsbeskatning</w:t>
      </w:r>
      <w:r>
        <w:rPr>
          <w:rFonts w:ascii="Calibri" w:hAnsi="Calibri"/>
          <w:iCs/>
          <w:color w:val="auto"/>
          <w:sz w:val="22"/>
          <w:szCs w:val="22"/>
        </w:rPr>
        <w:t xml:space="preserve">. </w:t>
      </w:r>
      <w:r>
        <w:rPr>
          <w:rFonts w:ascii="Calibri" w:hAnsi="Calibri"/>
          <w:color w:val="auto"/>
          <w:sz w:val="22"/>
          <w:szCs w:val="22"/>
        </w:rPr>
        <w:t>Her er det helt centralt at samarbejdet mellem TLR, KL og SKAT fungere</w:t>
      </w:r>
      <w:r w:rsidR="00BD2B78">
        <w:rPr>
          <w:rFonts w:ascii="Calibri" w:hAnsi="Calibri"/>
          <w:color w:val="auto"/>
          <w:sz w:val="22"/>
          <w:szCs w:val="22"/>
        </w:rPr>
        <w:t>r</w:t>
      </w:r>
      <w:r w:rsidR="00FD71E9">
        <w:rPr>
          <w:rFonts w:ascii="Calibri" w:hAnsi="Calibri"/>
          <w:color w:val="auto"/>
          <w:sz w:val="22"/>
          <w:szCs w:val="22"/>
        </w:rPr>
        <w:t>,</w:t>
      </w:r>
      <w:r>
        <w:rPr>
          <w:rFonts w:ascii="Calibri" w:hAnsi="Calibri"/>
          <w:color w:val="auto"/>
          <w:sz w:val="22"/>
          <w:szCs w:val="22"/>
        </w:rPr>
        <w:t xml:space="preserve"> og i den sammenhæng </w:t>
      </w:r>
      <w:r w:rsidR="001A6108">
        <w:rPr>
          <w:rFonts w:ascii="Calibri" w:hAnsi="Calibri"/>
          <w:color w:val="auto"/>
          <w:sz w:val="22"/>
          <w:szCs w:val="22"/>
        </w:rPr>
        <w:t xml:space="preserve">er </w:t>
      </w:r>
      <w:r>
        <w:rPr>
          <w:rFonts w:ascii="Calibri" w:hAnsi="Calibri"/>
          <w:color w:val="auto"/>
          <w:sz w:val="22"/>
          <w:szCs w:val="22"/>
        </w:rPr>
        <w:t xml:space="preserve">projektledelsesopgaven </w:t>
      </w:r>
      <w:r w:rsidR="00714CA7">
        <w:rPr>
          <w:rFonts w:ascii="Calibri" w:hAnsi="Calibri"/>
          <w:color w:val="auto"/>
          <w:sz w:val="22"/>
          <w:szCs w:val="22"/>
        </w:rPr>
        <w:t xml:space="preserve">meget </w:t>
      </w:r>
      <w:r w:rsidR="001010FD">
        <w:rPr>
          <w:rFonts w:ascii="Calibri" w:hAnsi="Calibri"/>
          <w:color w:val="auto"/>
          <w:sz w:val="22"/>
          <w:szCs w:val="22"/>
        </w:rPr>
        <w:t>væsentlig</w:t>
      </w:r>
      <w:r>
        <w:rPr>
          <w:rFonts w:ascii="Calibri" w:hAnsi="Calibri"/>
          <w:color w:val="auto"/>
          <w:sz w:val="22"/>
          <w:szCs w:val="22"/>
        </w:rPr>
        <w:t xml:space="preserve">. </w:t>
      </w:r>
    </w:p>
    <w:p w:rsidR="00A110A1" w:rsidRDefault="00A110A1" w:rsidP="00DB12B3">
      <w:pPr>
        <w:pStyle w:val="Almindeligtekst"/>
        <w:rPr>
          <w:rFonts w:asciiTheme="minorHAnsi" w:hAnsiTheme="minorHAnsi"/>
          <w:color w:val="000000"/>
          <w:sz w:val="22"/>
          <w:szCs w:val="22"/>
        </w:rPr>
      </w:pPr>
    </w:p>
    <w:p w:rsidR="00BC2C26" w:rsidRDefault="00BC2C26" w:rsidP="00B1210B">
      <w:pPr>
        <w:pStyle w:val="Default"/>
        <w:rPr>
          <w:rFonts w:ascii="Calibri" w:hAnsi="Calibri"/>
          <w:color w:val="auto"/>
          <w:sz w:val="22"/>
          <w:szCs w:val="22"/>
        </w:rPr>
      </w:pPr>
      <w:r>
        <w:rPr>
          <w:rFonts w:ascii="Calibri" w:hAnsi="Calibri"/>
          <w:color w:val="auto"/>
          <w:sz w:val="22"/>
          <w:szCs w:val="22"/>
        </w:rPr>
        <w:t>På denne baggrund er d</w:t>
      </w:r>
      <w:r w:rsidR="00DC574F">
        <w:rPr>
          <w:rFonts w:ascii="Calibri" w:hAnsi="Calibri"/>
          <w:color w:val="auto"/>
          <w:sz w:val="22"/>
          <w:szCs w:val="22"/>
        </w:rPr>
        <w:t xml:space="preserve">er </w:t>
      </w:r>
      <w:r w:rsidR="00DC574F" w:rsidRPr="00DC574F">
        <w:rPr>
          <w:rFonts w:ascii="Calibri" w:hAnsi="Calibri"/>
          <w:color w:val="auto"/>
          <w:sz w:val="22"/>
          <w:szCs w:val="22"/>
        </w:rPr>
        <w:t xml:space="preserve">behov for </w:t>
      </w:r>
      <w:r>
        <w:rPr>
          <w:rFonts w:ascii="Calibri" w:hAnsi="Calibri"/>
          <w:color w:val="auto"/>
          <w:sz w:val="22"/>
          <w:szCs w:val="22"/>
        </w:rPr>
        <w:t xml:space="preserve">at finde en ny og </w:t>
      </w:r>
      <w:r w:rsidR="00DC574F" w:rsidRPr="00DC574F">
        <w:rPr>
          <w:rFonts w:ascii="Calibri" w:hAnsi="Calibri"/>
          <w:color w:val="auto"/>
          <w:sz w:val="22"/>
          <w:szCs w:val="22"/>
        </w:rPr>
        <w:t>vedvarende</w:t>
      </w:r>
      <w:r w:rsidR="00DC574F">
        <w:rPr>
          <w:rFonts w:ascii="Calibri" w:hAnsi="Calibri"/>
          <w:color w:val="auto"/>
          <w:sz w:val="22"/>
          <w:szCs w:val="22"/>
        </w:rPr>
        <w:t xml:space="preserve"> </w:t>
      </w:r>
      <w:r w:rsidR="00B1210B">
        <w:rPr>
          <w:rFonts w:ascii="Calibri" w:hAnsi="Calibri"/>
          <w:color w:val="auto"/>
          <w:sz w:val="22"/>
          <w:szCs w:val="22"/>
        </w:rPr>
        <w:t>løsning</w:t>
      </w:r>
      <w:r>
        <w:rPr>
          <w:rFonts w:ascii="Calibri" w:hAnsi="Calibri"/>
          <w:color w:val="auto"/>
          <w:sz w:val="22"/>
          <w:szCs w:val="22"/>
        </w:rPr>
        <w:t>, der er acceptabel og operationel for alle parter</w:t>
      </w:r>
      <w:r w:rsidR="001250B7">
        <w:rPr>
          <w:rFonts w:ascii="Calibri" w:hAnsi="Calibri"/>
          <w:color w:val="auto"/>
          <w:sz w:val="22"/>
          <w:szCs w:val="22"/>
        </w:rPr>
        <w:t xml:space="preserve">. </w:t>
      </w:r>
    </w:p>
    <w:p w:rsidR="00BC2C26" w:rsidRDefault="00BC2C26" w:rsidP="00B1210B">
      <w:pPr>
        <w:pStyle w:val="Default"/>
        <w:rPr>
          <w:rFonts w:ascii="Calibri" w:hAnsi="Calibri"/>
          <w:color w:val="auto"/>
          <w:sz w:val="22"/>
          <w:szCs w:val="22"/>
        </w:rPr>
      </w:pPr>
    </w:p>
    <w:p w:rsidR="00BC2C26" w:rsidRPr="0011270E" w:rsidRDefault="00BC2C26" w:rsidP="00B1210B">
      <w:pPr>
        <w:pStyle w:val="Default"/>
        <w:rPr>
          <w:rFonts w:ascii="Calibri" w:hAnsi="Calibri"/>
          <w:b/>
          <w:color w:val="auto"/>
          <w:sz w:val="22"/>
          <w:szCs w:val="22"/>
        </w:rPr>
      </w:pPr>
      <w:r w:rsidRPr="0011270E">
        <w:rPr>
          <w:rFonts w:ascii="Calibri" w:hAnsi="Calibri"/>
          <w:b/>
          <w:color w:val="auto"/>
          <w:sz w:val="22"/>
          <w:szCs w:val="22"/>
        </w:rPr>
        <w:t>Ny samarbejdsmodel</w:t>
      </w:r>
    </w:p>
    <w:p w:rsidR="00DB12B3" w:rsidRDefault="0068637E" w:rsidP="00B1210B">
      <w:pPr>
        <w:pStyle w:val="Default"/>
        <w:rPr>
          <w:rFonts w:asciiTheme="minorHAnsi" w:hAnsiTheme="minorHAnsi"/>
          <w:sz w:val="22"/>
          <w:szCs w:val="22"/>
        </w:rPr>
      </w:pPr>
      <w:r w:rsidRPr="00DB12B3">
        <w:rPr>
          <w:rFonts w:asciiTheme="minorHAnsi" w:hAnsiTheme="minorHAnsi"/>
          <w:sz w:val="22"/>
          <w:szCs w:val="22"/>
        </w:rPr>
        <w:t xml:space="preserve">For bedst muligt at tilgodese </w:t>
      </w:r>
      <w:r w:rsidR="00DB12B3" w:rsidRPr="00DB12B3">
        <w:rPr>
          <w:rFonts w:asciiTheme="minorHAnsi" w:hAnsiTheme="minorHAnsi"/>
          <w:sz w:val="22"/>
          <w:szCs w:val="22"/>
        </w:rPr>
        <w:t>de forskellige hensyn</w:t>
      </w:r>
      <w:r w:rsidRPr="00DB12B3">
        <w:rPr>
          <w:rFonts w:asciiTheme="minorHAnsi" w:hAnsiTheme="minorHAnsi"/>
          <w:sz w:val="22"/>
          <w:szCs w:val="22"/>
        </w:rPr>
        <w:t xml:space="preserve"> er det </w:t>
      </w:r>
      <w:r w:rsidR="001010FD">
        <w:rPr>
          <w:rFonts w:asciiTheme="minorHAnsi" w:hAnsiTheme="minorHAnsi"/>
          <w:sz w:val="22"/>
          <w:szCs w:val="22"/>
        </w:rPr>
        <w:t xml:space="preserve">fundet </w:t>
      </w:r>
      <w:r w:rsidRPr="00DB12B3">
        <w:rPr>
          <w:rFonts w:asciiTheme="minorHAnsi" w:hAnsiTheme="minorHAnsi"/>
          <w:sz w:val="22"/>
          <w:szCs w:val="22"/>
        </w:rPr>
        <w:t>mest hensigtsmæssigt</w:t>
      </w:r>
      <w:r w:rsidR="00F26F2D">
        <w:rPr>
          <w:rFonts w:asciiTheme="minorHAnsi" w:hAnsiTheme="minorHAnsi"/>
          <w:sz w:val="22"/>
          <w:szCs w:val="22"/>
        </w:rPr>
        <w:t>,</w:t>
      </w:r>
      <w:r w:rsidRPr="00DB12B3">
        <w:rPr>
          <w:rFonts w:asciiTheme="minorHAnsi" w:hAnsiTheme="minorHAnsi"/>
          <w:sz w:val="22"/>
          <w:szCs w:val="22"/>
        </w:rPr>
        <w:t xml:space="preserve"> at </w:t>
      </w:r>
      <w:r w:rsidR="00DC574F">
        <w:rPr>
          <w:rFonts w:asciiTheme="minorHAnsi" w:hAnsiTheme="minorHAnsi"/>
          <w:sz w:val="22"/>
          <w:szCs w:val="22"/>
        </w:rPr>
        <w:t xml:space="preserve">GD1 </w:t>
      </w:r>
      <w:r w:rsidRPr="00DB12B3">
        <w:rPr>
          <w:rFonts w:asciiTheme="minorHAnsi" w:hAnsiTheme="minorHAnsi"/>
          <w:sz w:val="22"/>
          <w:szCs w:val="22"/>
        </w:rPr>
        <w:t>ændre</w:t>
      </w:r>
      <w:r w:rsidR="001250B7">
        <w:rPr>
          <w:rFonts w:asciiTheme="minorHAnsi" w:hAnsiTheme="minorHAnsi"/>
          <w:sz w:val="22"/>
          <w:szCs w:val="22"/>
        </w:rPr>
        <w:t>r</w:t>
      </w:r>
      <w:r w:rsidRPr="00DB12B3">
        <w:rPr>
          <w:rFonts w:asciiTheme="minorHAnsi" w:hAnsiTheme="minorHAnsi"/>
          <w:sz w:val="22"/>
          <w:szCs w:val="22"/>
        </w:rPr>
        <w:t xml:space="preserve"> samarbejdsmodellen i</w:t>
      </w:r>
      <w:r w:rsidR="001250B7">
        <w:rPr>
          <w:rFonts w:asciiTheme="minorHAnsi" w:hAnsiTheme="minorHAnsi"/>
          <w:sz w:val="22"/>
          <w:szCs w:val="22"/>
        </w:rPr>
        <w:t xml:space="preserve"> forhold til TLR. Den ændrede samarbejdsmodel</w:t>
      </w:r>
      <w:r w:rsidR="00F11229" w:rsidRPr="00DB12B3">
        <w:rPr>
          <w:rFonts w:asciiTheme="minorHAnsi" w:hAnsiTheme="minorHAnsi"/>
          <w:sz w:val="22"/>
          <w:szCs w:val="22"/>
        </w:rPr>
        <w:t xml:space="preserve"> sigter </w:t>
      </w:r>
      <w:r w:rsidR="001250B7">
        <w:rPr>
          <w:rFonts w:asciiTheme="minorHAnsi" w:hAnsiTheme="minorHAnsi"/>
          <w:sz w:val="22"/>
          <w:szCs w:val="22"/>
        </w:rPr>
        <w:t xml:space="preserve">på en </w:t>
      </w:r>
      <w:r w:rsidR="00714CA7">
        <w:rPr>
          <w:rFonts w:asciiTheme="minorHAnsi" w:hAnsiTheme="minorHAnsi"/>
          <w:sz w:val="22"/>
          <w:szCs w:val="22"/>
        </w:rPr>
        <w:t xml:space="preserve">form for </w:t>
      </w:r>
      <w:r w:rsidR="001250B7">
        <w:rPr>
          <w:rFonts w:asciiTheme="minorHAnsi" w:hAnsiTheme="minorHAnsi"/>
          <w:sz w:val="22"/>
          <w:szCs w:val="22"/>
        </w:rPr>
        <w:t>Bestiller-Udfører-Model</w:t>
      </w:r>
      <w:r w:rsidR="008A02F4">
        <w:rPr>
          <w:rFonts w:asciiTheme="minorHAnsi" w:hAnsiTheme="minorHAnsi"/>
          <w:sz w:val="22"/>
          <w:szCs w:val="22"/>
        </w:rPr>
        <w:t xml:space="preserve"> </w:t>
      </w:r>
      <w:r w:rsidR="001250B7">
        <w:rPr>
          <w:rFonts w:asciiTheme="minorHAnsi" w:hAnsiTheme="minorHAnsi"/>
          <w:sz w:val="22"/>
          <w:szCs w:val="22"/>
        </w:rPr>
        <w:t>i forhold til</w:t>
      </w:r>
      <w:r w:rsidR="003C0FD0">
        <w:rPr>
          <w:rFonts w:asciiTheme="minorHAnsi" w:hAnsiTheme="minorHAnsi"/>
          <w:sz w:val="22"/>
          <w:szCs w:val="22"/>
        </w:rPr>
        <w:t xml:space="preserve"> etablering af Ejerfortegnelsen.</w:t>
      </w:r>
      <w:r w:rsidR="001250B7">
        <w:rPr>
          <w:rFonts w:asciiTheme="minorHAnsi" w:hAnsiTheme="minorHAnsi"/>
          <w:sz w:val="22"/>
          <w:szCs w:val="22"/>
        </w:rPr>
        <w:t xml:space="preserve"> </w:t>
      </w:r>
      <w:r w:rsidR="00BC2C26">
        <w:rPr>
          <w:rFonts w:asciiTheme="minorHAnsi" w:hAnsiTheme="minorHAnsi"/>
          <w:sz w:val="22"/>
          <w:szCs w:val="22"/>
        </w:rPr>
        <w:t>S</w:t>
      </w:r>
      <w:r w:rsidR="00714CA7">
        <w:rPr>
          <w:rFonts w:asciiTheme="minorHAnsi" w:hAnsiTheme="minorHAnsi"/>
          <w:sz w:val="22"/>
          <w:szCs w:val="22"/>
        </w:rPr>
        <w:t>amarbejdsm</w:t>
      </w:r>
      <w:r w:rsidR="00BC2C26">
        <w:rPr>
          <w:rFonts w:asciiTheme="minorHAnsi" w:hAnsiTheme="minorHAnsi"/>
          <w:sz w:val="22"/>
          <w:szCs w:val="22"/>
        </w:rPr>
        <w:t>o</w:t>
      </w:r>
      <w:r w:rsidR="00714CA7">
        <w:rPr>
          <w:rFonts w:asciiTheme="minorHAnsi" w:hAnsiTheme="minorHAnsi"/>
          <w:sz w:val="22"/>
          <w:szCs w:val="22"/>
        </w:rPr>
        <w:t>del</w:t>
      </w:r>
      <w:r w:rsidR="00BC2C26">
        <w:rPr>
          <w:rFonts w:asciiTheme="minorHAnsi" w:hAnsiTheme="minorHAnsi"/>
          <w:sz w:val="22"/>
          <w:szCs w:val="22"/>
        </w:rPr>
        <w:t>len</w:t>
      </w:r>
      <w:r w:rsidR="00714CA7">
        <w:rPr>
          <w:rFonts w:asciiTheme="minorHAnsi" w:hAnsiTheme="minorHAnsi"/>
          <w:sz w:val="22"/>
          <w:szCs w:val="22"/>
        </w:rPr>
        <w:t xml:space="preserve"> indebærer, at </w:t>
      </w:r>
      <w:r w:rsidR="001250B7">
        <w:rPr>
          <w:rFonts w:asciiTheme="minorHAnsi" w:hAnsiTheme="minorHAnsi"/>
          <w:sz w:val="22"/>
          <w:szCs w:val="22"/>
        </w:rPr>
        <w:t xml:space="preserve">MBBL </w:t>
      </w:r>
      <w:r w:rsidR="00405001">
        <w:rPr>
          <w:rFonts w:asciiTheme="minorHAnsi" w:hAnsiTheme="minorHAnsi"/>
          <w:sz w:val="22"/>
          <w:szCs w:val="22"/>
        </w:rPr>
        <w:t xml:space="preserve">– som bestiller – </w:t>
      </w:r>
      <w:r w:rsidR="001250B7">
        <w:rPr>
          <w:rFonts w:asciiTheme="minorHAnsi" w:hAnsiTheme="minorHAnsi"/>
          <w:sz w:val="22"/>
          <w:szCs w:val="22"/>
        </w:rPr>
        <w:t>får</w:t>
      </w:r>
      <w:r w:rsidR="00DB12B3">
        <w:rPr>
          <w:rFonts w:asciiTheme="minorHAnsi" w:hAnsiTheme="minorHAnsi"/>
          <w:sz w:val="22"/>
          <w:szCs w:val="22"/>
        </w:rPr>
        <w:t xml:space="preserve"> ansvar for at </w:t>
      </w:r>
      <w:r w:rsidR="00F11229" w:rsidRPr="00DB12B3">
        <w:rPr>
          <w:rFonts w:asciiTheme="minorHAnsi" w:hAnsiTheme="minorHAnsi"/>
          <w:sz w:val="22"/>
          <w:szCs w:val="22"/>
        </w:rPr>
        <w:t xml:space="preserve">løse </w:t>
      </w:r>
      <w:r w:rsidR="00DB12B3">
        <w:rPr>
          <w:rFonts w:asciiTheme="minorHAnsi" w:hAnsiTheme="minorHAnsi"/>
          <w:sz w:val="22"/>
          <w:szCs w:val="22"/>
        </w:rPr>
        <w:t xml:space="preserve">visse </w:t>
      </w:r>
      <w:r w:rsidR="00F11229" w:rsidRPr="00DB12B3">
        <w:rPr>
          <w:rFonts w:asciiTheme="minorHAnsi" w:hAnsiTheme="minorHAnsi"/>
          <w:sz w:val="22"/>
          <w:szCs w:val="22"/>
        </w:rPr>
        <w:t>opgaver</w:t>
      </w:r>
      <w:r w:rsidR="00A110A1">
        <w:rPr>
          <w:rFonts w:asciiTheme="minorHAnsi" w:hAnsiTheme="minorHAnsi"/>
          <w:sz w:val="22"/>
          <w:szCs w:val="22"/>
        </w:rPr>
        <w:t xml:space="preserve"> i perioden frem til den nye E</w:t>
      </w:r>
      <w:r w:rsidR="00DB12B3" w:rsidRPr="00DB12B3">
        <w:rPr>
          <w:rFonts w:asciiTheme="minorHAnsi" w:hAnsiTheme="minorHAnsi"/>
          <w:sz w:val="22"/>
          <w:szCs w:val="22"/>
        </w:rPr>
        <w:t>jerfortegnelse er i  drift</w:t>
      </w:r>
      <w:r w:rsidR="00F11229" w:rsidRPr="00DB12B3">
        <w:rPr>
          <w:rFonts w:asciiTheme="minorHAnsi" w:hAnsiTheme="minorHAnsi"/>
          <w:sz w:val="22"/>
          <w:szCs w:val="22"/>
        </w:rPr>
        <w:t>.</w:t>
      </w:r>
      <w:r w:rsidR="00DB12B3" w:rsidRPr="00DB12B3">
        <w:rPr>
          <w:rFonts w:asciiTheme="minorHAnsi" w:hAnsiTheme="minorHAnsi"/>
          <w:sz w:val="22"/>
          <w:szCs w:val="22"/>
        </w:rPr>
        <w:t xml:space="preserve"> Ansv</w:t>
      </w:r>
      <w:r w:rsidR="003C0FD0">
        <w:rPr>
          <w:rFonts w:asciiTheme="minorHAnsi" w:hAnsiTheme="minorHAnsi"/>
          <w:sz w:val="22"/>
          <w:szCs w:val="22"/>
        </w:rPr>
        <w:t xml:space="preserve">aret for udvikling og </w:t>
      </w:r>
      <w:r w:rsidR="00FD71E9">
        <w:rPr>
          <w:rFonts w:asciiTheme="minorHAnsi" w:hAnsiTheme="minorHAnsi"/>
          <w:sz w:val="22"/>
          <w:szCs w:val="22"/>
        </w:rPr>
        <w:t xml:space="preserve">løbende </w:t>
      </w:r>
      <w:r w:rsidR="003C0FD0">
        <w:rPr>
          <w:rFonts w:asciiTheme="minorHAnsi" w:hAnsiTheme="minorHAnsi"/>
          <w:sz w:val="22"/>
          <w:szCs w:val="22"/>
        </w:rPr>
        <w:t>drift af E</w:t>
      </w:r>
      <w:r w:rsidR="00FD71E9">
        <w:rPr>
          <w:rFonts w:asciiTheme="minorHAnsi" w:hAnsiTheme="minorHAnsi"/>
          <w:sz w:val="22"/>
          <w:szCs w:val="22"/>
        </w:rPr>
        <w:t>jerfortegnelsen samt</w:t>
      </w:r>
      <w:r w:rsidR="00DB12B3" w:rsidRPr="00DB12B3">
        <w:rPr>
          <w:rFonts w:asciiTheme="minorHAnsi" w:hAnsiTheme="minorHAnsi"/>
          <w:sz w:val="22"/>
          <w:szCs w:val="22"/>
        </w:rPr>
        <w:t xml:space="preserve"> </w:t>
      </w:r>
      <w:r w:rsidR="00FC4A53">
        <w:rPr>
          <w:rFonts w:asciiTheme="minorHAnsi" w:hAnsiTheme="minorHAnsi"/>
          <w:sz w:val="22"/>
          <w:szCs w:val="22"/>
        </w:rPr>
        <w:t xml:space="preserve">udvikling af </w:t>
      </w:r>
      <w:r w:rsidR="00DB12B3" w:rsidRPr="00DB12B3">
        <w:rPr>
          <w:rFonts w:asciiTheme="minorHAnsi" w:hAnsiTheme="minorHAnsi"/>
          <w:sz w:val="22"/>
          <w:szCs w:val="22"/>
        </w:rPr>
        <w:t>ny funktionalitet i</w:t>
      </w:r>
      <w:r w:rsidR="00E71AD2">
        <w:rPr>
          <w:rFonts w:asciiTheme="minorHAnsi" w:hAnsiTheme="minorHAnsi"/>
          <w:sz w:val="22"/>
          <w:szCs w:val="22"/>
        </w:rPr>
        <w:t xml:space="preserve"> T</w:t>
      </w:r>
      <w:r w:rsidR="00DB12B3" w:rsidRPr="00DB12B3">
        <w:rPr>
          <w:rFonts w:asciiTheme="minorHAnsi" w:hAnsiTheme="minorHAnsi"/>
          <w:sz w:val="22"/>
          <w:szCs w:val="22"/>
        </w:rPr>
        <w:t>ingbogen</w:t>
      </w:r>
      <w:r w:rsidR="003C0FD0">
        <w:rPr>
          <w:rFonts w:asciiTheme="minorHAnsi" w:hAnsiTheme="minorHAnsi"/>
          <w:sz w:val="22"/>
          <w:szCs w:val="22"/>
        </w:rPr>
        <w:t xml:space="preserve"> </w:t>
      </w:r>
      <w:r w:rsidR="008A02F4">
        <w:rPr>
          <w:rFonts w:asciiTheme="minorHAnsi" w:hAnsiTheme="minorHAnsi"/>
          <w:sz w:val="22"/>
          <w:szCs w:val="22"/>
        </w:rPr>
        <w:t>med tilhørende</w:t>
      </w:r>
      <w:r w:rsidR="003C0FD0">
        <w:rPr>
          <w:rFonts w:asciiTheme="minorHAnsi" w:hAnsiTheme="minorHAnsi"/>
          <w:sz w:val="22"/>
          <w:szCs w:val="22"/>
        </w:rPr>
        <w:t xml:space="preserve"> implementering</w:t>
      </w:r>
      <w:r w:rsidR="008A02F4">
        <w:rPr>
          <w:rFonts w:asciiTheme="minorHAnsi" w:hAnsiTheme="minorHAnsi"/>
          <w:sz w:val="22"/>
          <w:szCs w:val="22"/>
        </w:rPr>
        <w:t xml:space="preserve">er </w:t>
      </w:r>
      <w:r w:rsidR="003C0FD0">
        <w:rPr>
          <w:rFonts w:asciiTheme="minorHAnsi" w:hAnsiTheme="minorHAnsi"/>
          <w:sz w:val="22"/>
          <w:szCs w:val="22"/>
        </w:rPr>
        <w:t xml:space="preserve">af </w:t>
      </w:r>
      <w:r w:rsidR="00BD5D10">
        <w:rPr>
          <w:rFonts w:asciiTheme="minorHAnsi" w:hAnsiTheme="minorHAnsi"/>
          <w:sz w:val="22"/>
          <w:szCs w:val="22"/>
        </w:rPr>
        <w:t xml:space="preserve">det fælles ejendomsbegreb (Bestemt fast ejendom – </w:t>
      </w:r>
      <w:r w:rsidR="003C0FD0">
        <w:rPr>
          <w:rFonts w:asciiTheme="minorHAnsi" w:hAnsiTheme="minorHAnsi"/>
          <w:sz w:val="22"/>
          <w:szCs w:val="22"/>
        </w:rPr>
        <w:t>BFE</w:t>
      </w:r>
      <w:r w:rsidR="00BD5D10">
        <w:rPr>
          <w:rFonts w:asciiTheme="minorHAnsi" w:hAnsiTheme="minorHAnsi"/>
          <w:sz w:val="22"/>
          <w:szCs w:val="22"/>
        </w:rPr>
        <w:t>)</w:t>
      </w:r>
      <w:r w:rsidR="00DB12B3" w:rsidRPr="00DB12B3">
        <w:rPr>
          <w:rFonts w:asciiTheme="minorHAnsi" w:hAnsiTheme="minorHAnsi"/>
          <w:sz w:val="22"/>
          <w:szCs w:val="22"/>
        </w:rPr>
        <w:t xml:space="preserve"> forbliver i TLR.</w:t>
      </w:r>
    </w:p>
    <w:p w:rsidR="00BC2C26" w:rsidRDefault="00BC2C26" w:rsidP="00B1210B">
      <w:pPr>
        <w:pStyle w:val="Default"/>
        <w:rPr>
          <w:rFonts w:asciiTheme="minorHAnsi" w:hAnsiTheme="minorHAnsi"/>
          <w:sz w:val="22"/>
          <w:szCs w:val="22"/>
        </w:rPr>
      </w:pPr>
    </w:p>
    <w:p w:rsidR="00486AAC" w:rsidRDefault="00486AAC" w:rsidP="00B1210B">
      <w:pPr>
        <w:pStyle w:val="Default"/>
        <w:rPr>
          <w:rFonts w:asciiTheme="minorHAnsi" w:hAnsiTheme="minorHAnsi"/>
          <w:sz w:val="22"/>
          <w:szCs w:val="22"/>
        </w:rPr>
      </w:pPr>
      <w:r>
        <w:rPr>
          <w:rFonts w:asciiTheme="minorHAnsi" w:hAnsiTheme="minorHAnsi"/>
          <w:sz w:val="22"/>
          <w:szCs w:val="22"/>
        </w:rPr>
        <w:t>MBBL får ansvaret for</w:t>
      </w:r>
      <w:r w:rsidR="00726ABE">
        <w:rPr>
          <w:rFonts w:asciiTheme="minorHAnsi" w:hAnsiTheme="minorHAnsi"/>
          <w:sz w:val="22"/>
          <w:szCs w:val="22"/>
        </w:rPr>
        <w:t xml:space="preserve"> den del af grunddataopgaven, som omfatter formidling og koordination </w:t>
      </w:r>
      <w:r w:rsidR="00FF6B38">
        <w:rPr>
          <w:rFonts w:asciiTheme="minorHAnsi" w:hAnsiTheme="minorHAnsi"/>
          <w:sz w:val="22"/>
          <w:szCs w:val="22"/>
        </w:rPr>
        <w:t xml:space="preserve">af </w:t>
      </w:r>
      <w:r w:rsidR="00726ABE">
        <w:rPr>
          <w:rFonts w:asciiTheme="minorHAnsi" w:hAnsiTheme="minorHAnsi"/>
          <w:sz w:val="22"/>
          <w:szCs w:val="22"/>
        </w:rPr>
        <w:t xml:space="preserve">dataanvenderes </w:t>
      </w:r>
      <w:r>
        <w:rPr>
          <w:rFonts w:asciiTheme="minorHAnsi" w:hAnsiTheme="minorHAnsi"/>
          <w:sz w:val="22"/>
          <w:szCs w:val="22"/>
        </w:rPr>
        <w:t>krav i forhold til</w:t>
      </w:r>
      <w:r w:rsidR="00726ABE">
        <w:rPr>
          <w:rFonts w:asciiTheme="minorHAnsi" w:hAnsiTheme="minorHAnsi"/>
          <w:sz w:val="22"/>
          <w:szCs w:val="22"/>
        </w:rPr>
        <w:t xml:space="preserve"> Ejerfortegnelsen. </w:t>
      </w:r>
      <w:r w:rsidR="00F26F2D">
        <w:rPr>
          <w:rFonts w:asciiTheme="minorHAnsi" w:hAnsiTheme="minorHAnsi"/>
          <w:sz w:val="22"/>
          <w:szCs w:val="22"/>
        </w:rPr>
        <w:t xml:space="preserve">Dette ansvar varetages af MBBL, også </w:t>
      </w:r>
      <w:r w:rsidR="00322F22">
        <w:rPr>
          <w:rFonts w:asciiTheme="minorHAnsi" w:hAnsiTheme="minorHAnsi"/>
          <w:sz w:val="22"/>
          <w:szCs w:val="22"/>
        </w:rPr>
        <w:t xml:space="preserve">efter at </w:t>
      </w:r>
      <w:r w:rsidR="00726ABE">
        <w:rPr>
          <w:rFonts w:asciiTheme="minorHAnsi" w:hAnsiTheme="minorHAnsi"/>
          <w:sz w:val="22"/>
          <w:szCs w:val="22"/>
        </w:rPr>
        <w:t xml:space="preserve">Ejerfortegnelsen er </w:t>
      </w:r>
      <w:r w:rsidR="00322F22">
        <w:rPr>
          <w:rFonts w:asciiTheme="minorHAnsi" w:hAnsiTheme="minorHAnsi"/>
          <w:sz w:val="22"/>
          <w:szCs w:val="22"/>
        </w:rPr>
        <w:t xml:space="preserve">etableret og </w:t>
      </w:r>
      <w:r w:rsidR="00B05820">
        <w:rPr>
          <w:rFonts w:asciiTheme="minorHAnsi" w:hAnsiTheme="minorHAnsi"/>
          <w:sz w:val="22"/>
          <w:szCs w:val="22"/>
        </w:rPr>
        <w:t>idrift</w:t>
      </w:r>
      <w:r w:rsidR="00726ABE">
        <w:rPr>
          <w:rFonts w:asciiTheme="minorHAnsi" w:hAnsiTheme="minorHAnsi"/>
          <w:sz w:val="22"/>
          <w:szCs w:val="22"/>
        </w:rPr>
        <w:t>sat.</w:t>
      </w:r>
      <w:r>
        <w:rPr>
          <w:rFonts w:asciiTheme="minorHAnsi" w:hAnsiTheme="minorHAnsi"/>
          <w:sz w:val="22"/>
          <w:szCs w:val="22"/>
        </w:rPr>
        <w:t xml:space="preserve"> </w:t>
      </w:r>
    </w:p>
    <w:p w:rsidR="00486AAC" w:rsidRDefault="00486AAC" w:rsidP="00B1210B">
      <w:pPr>
        <w:pStyle w:val="Default"/>
        <w:rPr>
          <w:rFonts w:asciiTheme="minorHAnsi" w:hAnsiTheme="minorHAnsi"/>
          <w:sz w:val="22"/>
          <w:szCs w:val="22"/>
        </w:rPr>
      </w:pPr>
    </w:p>
    <w:p w:rsidR="00BC2C26" w:rsidRDefault="00BC2C26" w:rsidP="00B1210B">
      <w:pPr>
        <w:pStyle w:val="Default"/>
        <w:rPr>
          <w:rFonts w:asciiTheme="minorHAnsi" w:hAnsiTheme="minorHAnsi"/>
          <w:sz w:val="22"/>
          <w:szCs w:val="22"/>
        </w:rPr>
      </w:pPr>
      <w:r>
        <w:rPr>
          <w:rFonts w:asciiTheme="minorHAnsi" w:hAnsiTheme="minorHAnsi"/>
          <w:sz w:val="22"/>
          <w:szCs w:val="22"/>
        </w:rPr>
        <w:t>Budgettet for den samlede opgave og delopgaverne fastholdes, men justeres i overensstemmelse med den nye opgavefordeling. Der vil dog være visse periodeforskydninger, som endnu ikke er fastlagt.</w:t>
      </w:r>
    </w:p>
    <w:p w:rsidR="00F11229" w:rsidRPr="00BF3874" w:rsidRDefault="00F11229" w:rsidP="00AD6923">
      <w:pPr>
        <w:pStyle w:val="Almindeligtekst"/>
        <w:rPr>
          <w:rFonts w:asciiTheme="minorHAnsi" w:hAnsiTheme="minorHAnsi"/>
          <w:color w:val="000000"/>
          <w:sz w:val="22"/>
          <w:szCs w:val="22"/>
        </w:rPr>
      </w:pPr>
    </w:p>
    <w:p w:rsidR="00F11229" w:rsidRDefault="00F11229" w:rsidP="00AD6923">
      <w:pPr>
        <w:pStyle w:val="Almindeligtekst"/>
        <w:rPr>
          <w:rFonts w:asciiTheme="minorHAnsi" w:hAnsiTheme="minorHAnsi"/>
          <w:b/>
          <w:color w:val="000000"/>
          <w:sz w:val="22"/>
          <w:szCs w:val="22"/>
        </w:rPr>
      </w:pPr>
      <w:r w:rsidRPr="00BF3874">
        <w:rPr>
          <w:rFonts w:asciiTheme="minorHAnsi" w:hAnsiTheme="minorHAnsi"/>
          <w:b/>
          <w:color w:val="000000"/>
          <w:sz w:val="22"/>
          <w:szCs w:val="22"/>
        </w:rPr>
        <w:t>Opgaver</w:t>
      </w:r>
      <w:r w:rsidR="003E62A4" w:rsidRPr="00BF3874">
        <w:rPr>
          <w:rFonts w:asciiTheme="minorHAnsi" w:hAnsiTheme="minorHAnsi"/>
          <w:b/>
          <w:color w:val="000000"/>
          <w:sz w:val="22"/>
          <w:szCs w:val="22"/>
        </w:rPr>
        <w:t xml:space="preserve"> der </w:t>
      </w:r>
      <w:r w:rsidR="008A02F4">
        <w:rPr>
          <w:rFonts w:asciiTheme="minorHAnsi" w:hAnsiTheme="minorHAnsi"/>
          <w:b/>
          <w:color w:val="000000"/>
          <w:sz w:val="22"/>
          <w:szCs w:val="22"/>
        </w:rPr>
        <w:t>overføres til MBBL</w:t>
      </w:r>
    </w:p>
    <w:p w:rsidR="00BD6203" w:rsidRDefault="00BC2C26" w:rsidP="00AD6923">
      <w:pPr>
        <w:pStyle w:val="Almindeligtekst"/>
        <w:rPr>
          <w:rFonts w:asciiTheme="minorHAnsi" w:hAnsiTheme="minorHAnsi"/>
          <w:color w:val="000000"/>
          <w:sz w:val="22"/>
          <w:szCs w:val="22"/>
        </w:rPr>
      </w:pPr>
      <w:r>
        <w:rPr>
          <w:rFonts w:asciiTheme="minorHAnsi" w:hAnsiTheme="minorHAnsi"/>
          <w:color w:val="000000"/>
          <w:sz w:val="22"/>
          <w:szCs w:val="22"/>
        </w:rPr>
        <w:t>Den nye</w:t>
      </w:r>
      <w:r w:rsidR="00BD6203">
        <w:rPr>
          <w:rFonts w:asciiTheme="minorHAnsi" w:hAnsiTheme="minorHAnsi"/>
          <w:color w:val="000000"/>
          <w:sz w:val="22"/>
          <w:szCs w:val="22"/>
        </w:rPr>
        <w:t xml:space="preserve"> samarbejdsmodel </w:t>
      </w:r>
      <w:r>
        <w:rPr>
          <w:rFonts w:asciiTheme="minorHAnsi" w:hAnsiTheme="minorHAnsi"/>
          <w:color w:val="000000"/>
          <w:sz w:val="22"/>
          <w:szCs w:val="22"/>
        </w:rPr>
        <w:t xml:space="preserve">betyder, at </w:t>
      </w:r>
      <w:r w:rsidR="00EF4198">
        <w:rPr>
          <w:rFonts w:asciiTheme="minorHAnsi" w:hAnsiTheme="minorHAnsi"/>
          <w:color w:val="000000"/>
          <w:sz w:val="22"/>
          <w:szCs w:val="22"/>
        </w:rPr>
        <w:t>følgende opgaver</w:t>
      </w:r>
      <w:r w:rsidR="002E0F59">
        <w:rPr>
          <w:rFonts w:asciiTheme="minorHAnsi" w:hAnsiTheme="minorHAnsi"/>
          <w:color w:val="000000"/>
          <w:sz w:val="22"/>
          <w:szCs w:val="22"/>
        </w:rPr>
        <w:t xml:space="preserve"> og ansvar</w:t>
      </w:r>
      <w:r w:rsidR="00EF4198">
        <w:rPr>
          <w:rFonts w:asciiTheme="minorHAnsi" w:hAnsiTheme="minorHAnsi"/>
          <w:color w:val="000000"/>
          <w:sz w:val="22"/>
          <w:szCs w:val="22"/>
        </w:rPr>
        <w:t xml:space="preserve"> </w:t>
      </w:r>
      <w:r>
        <w:rPr>
          <w:rFonts w:asciiTheme="minorHAnsi" w:hAnsiTheme="minorHAnsi"/>
          <w:color w:val="000000"/>
          <w:sz w:val="22"/>
          <w:szCs w:val="22"/>
        </w:rPr>
        <w:t xml:space="preserve">overføres </w:t>
      </w:r>
      <w:r w:rsidR="00EF4198">
        <w:rPr>
          <w:rFonts w:asciiTheme="minorHAnsi" w:hAnsiTheme="minorHAnsi"/>
          <w:color w:val="000000"/>
          <w:sz w:val="22"/>
          <w:szCs w:val="22"/>
        </w:rPr>
        <w:t xml:space="preserve">fra </w:t>
      </w:r>
      <w:r w:rsidR="00BD6203">
        <w:rPr>
          <w:rFonts w:asciiTheme="minorHAnsi" w:hAnsiTheme="minorHAnsi"/>
          <w:color w:val="000000"/>
          <w:sz w:val="22"/>
          <w:szCs w:val="22"/>
        </w:rPr>
        <w:t>TLR til MBBL:</w:t>
      </w:r>
    </w:p>
    <w:p w:rsidR="00BD6203" w:rsidRDefault="008A02F4" w:rsidP="00BD6203">
      <w:pPr>
        <w:pStyle w:val="Almindeligtekst"/>
        <w:numPr>
          <w:ilvl w:val="0"/>
          <w:numId w:val="20"/>
        </w:numPr>
        <w:rPr>
          <w:rFonts w:asciiTheme="minorHAnsi" w:hAnsiTheme="minorHAnsi"/>
          <w:color w:val="000000"/>
          <w:sz w:val="22"/>
          <w:szCs w:val="22"/>
        </w:rPr>
      </w:pPr>
      <w:r>
        <w:rPr>
          <w:rFonts w:asciiTheme="minorHAnsi" w:hAnsiTheme="minorHAnsi"/>
          <w:color w:val="000000"/>
          <w:sz w:val="22"/>
          <w:szCs w:val="22"/>
        </w:rPr>
        <w:t>Den forretningsmæssige projek</w:t>
      </w:r>
      <w:r w:rsidR="00BD6203">
        <w:rPr>
          <w:rFonts w:asciiTheme="minorHAnsi" w:hAnsiTheme="minorHAnsi"/>
          <w:color w:val="000000"/>
          <w:sz w:val="22"/>
          <w:szCs w:val="22"/>
        </w:rPr>
        <w:t>tledelse vedr. Ejerfortegnelsen, herunder opgaver vedr:</w:t>
      </w:r>
    </w:p>
    <w:p w:rsidR="00BD6203" w:rsidRDefault="00F66AB0" w:rsidP="00BD6203">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 xml:space="preserve">Sikre at </w:t>
      </w:r>
      <w:r w:rsidR="00BD6203">
        <w:rPr>
          <w:rFonts w:asciiTheme="minorHAnsi" w:hAnsiTheme="minorHAnsi"/>
          <w:color w:val="000000"/>
          <w:sz w:val="22"/>
          <w:szCs w:val="22"/>
        </w:rPr>
        <w:t>TLR’s opgaver i relation til delaftale 1 og programstyringsdokumentet</w:t>
      </w:r>
      <w:r>
        <w:rPr>
          <w:rFonts w:asciiTheme="minorHAnsi" w:hAnsiTheme="minorHAnsi"/>
          <w:color w:val="000000"/>
          <w:sz w:val="22"/>
          <w:szCs w:val="22"/>
        </w:rPr>
        <w:t xml:space="preserve"> gennemføres i overensstemmelse med den fælles implementeringsplan</w:t>
      </w:r>
      <w:r w:rsidR="00BD6203">
        <w:rPr>
          <w:rFonts w:asciiTheme="minorHAnsi" w:hAnsiTheme="minorHAnsi"/>
          <w:color w:val="000000"/>
          <w:sz w:val="22"/>
          <w:szCs w:val="22"/>
        </w:rPr>
        <w:t>.</w:t>
      </w:r>
    </w:p>
    <w:p w:rsidR="00EF4198" w:rsidRDefault="00545EDC" w:rsidP="00BD6203">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F</w:t>
      </w:r>
      <w:r w:rsidR="00F66AB0">
        <w:rPr>
          <w:rFonts w:asciiTheme="minorHAnsi" w:hAnsiTheme="minorHAnsi"/>
          <w:color w:val="000000"/>
          <w:sz w:val="22"/>
          <w:szCs w:val="22"/>
        </w:rPr>
        <w:t>ungere som bindeled mellem TLR og programsekretariatet</w:t>
      </w:r>
    </w:p>
    <w:p w:rsidR="00BD6203" w:rsidRDefault="00BD6203" w:rsidP="00BD6203">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Forvaltning af samarbejdsaftale mellem GD1 og TLR</w:t>
      </w:r>
      <w:r w:rsidR="00F66AB0">
        <w:rPr>
          <w:rFonts w:asciiTheme="minorHAnsi" w:hAnsiTheme="minorHAnsi"/>
          <w:color w:val="000000"/>
          <w:sz w:val="22"/>
          <w:szCs w:val="22"/>
        </w:rPr>
        <w:t xml:space="preserve"> </w:t>
      </w:r>
      <w:r>
        <w:rPr>
          <w:rFonts w:asciiTheme="minorHAnsi" w:hAnsiTheme="minorHAnsi"/>
          <w:color w:val="000000"/>
          <w:sz w:val="22"/>
          <w:szCs w:val="22"/>
        </w:rPr>
        <w:t>(se nedenfor)</w:t>
      </w:r>
    </w:p>
    <w:p w:rsidR="00BD6203" w:rsidRDefault="00BD6203" w:rsidP="00BD6203">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Deltage i møder i</w:t>
      </w:r>
      <w:r w:rsidR="00B05820">
        <w:rPr>
          <w:rFonts w:asciiTheme="minorHAnsi" w:hAnsiTheme="minorHAnsi"/>
          <w:color w:val="000000"/>
          <w:sz w:val="22"/>
          <w:szCs w:val="22"/>
        </w:rPr>
        <w:t xml:space="preserve"> GD1’s</w:t>
      </w:r>
      <w:r>
        <w:rPr>
          <w:rFonts w:asciiTheme="minorHAnsi" w:hAnsiTheme="minorHAnsi"/>
          <w:color w:val="000000"/>
          <w:sz w:val="22"/>
          <w:szCs w:val="22"/>
        </w:rPr>
        <w:t xml:space="preserve"> projektforum</w:t>
      </w:r>
    </w:p>
    <w:p w:rsidR="00BD6203" w:rsidRDefault="00BD6203" w:rsidP="00BD6203">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Bidrage med faglige og forretningsmæssige kompetencer til projektforum</w:t>
      </w:r>
    </w:p>
    <w:p w:rsidR="00EF4198" w:rsidRDefault="00BD6203" w:rsidP="00BD6203">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Deltage i det løbende samarbejde med aftalepartne</w:t>
      </w:r>
      <w:r w:rsidR="00EA6F5B">
        <w:rPr>
          <w:rFonts w:asciiTheme="minorHAnsi" w:hAnsiTheme="minorHAnsi"/>
          <w:color w:val="000000"/>
          <w:sz w:val="22"/>
          <w:szCs w:val="22"/>
        </w:rPr>
        <w:t>re og øvrige samarbejdspartnere</w:t>
      </w:r>
    </w:p>
    <w:p w:rsidR="00172FC2" w:rsidRDefault="00405001" w:rsidP="00BD6203">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 xml:space="preserve">Sikre formidling af </w:t>
      </w:r>
      <w:r w:rsidR="003C3810">
        <w:rPr>
          <w:rFonts w:asciiTheme="minorHAnsi" w:hAnsiTheme="minorHAnsi"/>
          <w:color w:val="000000"/>
          <w:sz w:val="22"/>
          <w:szCs w:val="22"/>
        </w:rPr>
        <w:t xml:space="preserve">dataanvendernes </w:t>
      </w:r>
      <w:r>
        <w:rPr>
          <w:rFonts w:asciiTheme="minorHAnsi" w:hAnsiTheme="minorHAnsi"/>
          <w:color w:val="000000"/>
          <w:sz w:val="22"/>
          <w:szCs w:val="22"/>
        </w:rPr>
        <w:t>krav til</w:t>
      </w:r>
      <w:r w:rsidR="00AB5CBB">
        <w:rPr>
          <w:rFonts w:asciiTheme="minorHAnsi" w:hAnsiTheme="minorHAnsi"/>
          <w:color w:val="000000"/>
          <w:sz w:val="22"/>
          <w:szCs w:val="22"/>
        </w:rPr>
        <w:t xml:space="preserve"> Ejerfortegnelse</w:t>
      </w:r>
      <w:r w:rsidR="003C3810">
        <w:rPr>
          <w:rFonts w:asciiTheme="minorHAnsi" w:hAnsiTheme="minorHAnsi"/>
          <w:color w:val="000000"/>
          <w:sz w:val="22"/>
          <w:szCs w:val="22"/>
        </w:rPr>
        <w:t xml:space="preserve">n. </w:t>
      </w:r>
    </w:p>
    <w:p w:rsidR="00AB5CBB" w:rsidRDefault="00172FC2" w:rsidP="00BD6203">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F</w:t>
      </w:r>
      <w:r w:rsidR="003C3810">
        <w:rPr>
          <w:rFonts w:asciiTheme="minorHAnsi" w:hAnsiTheme="minorHAnsi"/>
          <w:color w:val="000000"/>
          <w:sz w:val="22"/>
          <w:szCs w:val="22"/>
        </w:rPr>
        <w:t>ormidling af KL/SKAT’s forretningskrav til ejer- og administratoroplysninger.</w:t>
      </w:r>
    </w:p>
    <w:p w:rsidR="00EF4198" w:rsidRDefault="00EF4198" w:rsidP="00EF4198">
      <w:pPr>
        <w:pStyle w:val="Almindeligtekst"/>
        <w:numPr>
          <w:ilvl w:val="0"/>
          <w:numId w:val="20"/>
        </w:numPr>
        <w:rPr>
          <w:rFonts w:asciiTheme="minorHAnsi" w:hAnsiTheme="minorHAnsi"/>
          <w:color w:val="000000"/>
          <w:sz w:val="22"/>
          <w:szCs w:val="22"/>
        </w:rPr>
      </w:pPr>
      <w:r>
        <w:rPr>
          <w:rFonts w:asciiTheme="minorHAnsi" w:hAnsiTheme="minorHAnsi"/>
          <w:color w:val="000000"/>
          <w:sz w:val="22"/>
          <w:szCs w:val="22"/>
        </w:rPr>
        <w:t>Udarbejdelse af målarkitektur og implementeringsplan for Ejerfortegnelsen</w:t>
      </w:r>
      <w:r w:rsidR="00172FC2">
        <w:rPr>
          <w:rFonts w:asciiTheme="minorHAnsi" w:hAnsiTheme="minorHAnsi"/>
          <w:color w:val="000000"/>
          <w:sz w:val="22"/>
          <w:szCs w:val="22"/>
        </w:rPr>
        <w:t xml:space="preserve">. </w:t>
      </w:r>
    </w:p>
    <w:p w:rsidR="007B5475" w:rsidRDefault="002E0F59" w:rsidP="00EF4198">
      <w:pPr>
        <w:pStyle w:val="Almindeligtekst"/>
        <w:numPr>
          <w:ilvl w:val="0"/>
          <w:numId w:val="20"/>
        </w:numPr>
        <w:rPr>
          <w:rFonts w:asciiTheme="minorHAnsi" w:hAnsiTheme="minorHAnsi"/>
          <w:color w:val="000000"/>
          <w:sz w:val="22"/>
          <w:szCs w:val="22"/>
        </w:rPr>
      </w:pPr>
      <w:r>
        <w:rPr>
          <w:rFonts w:asciiTheme="minorHAnsi" w:hAnsiTheme="minorHAnsi"/>
          <w:color w:val="000000"/>
          <w:sz w:val="22"/>
          <w:szCs w:val="22"/>
        </w:rPr>
        <w:t xml:space="preserve">Udarbejdelse af løsningsarkitektur for Ejerfortegnelsen til </w:t>
      </w:r>
      <w:r w:rsidR="007B5475">
        <w:rPr>
          <w:rFonts w:asciiTheme="minorHAnsi" w:hAnsiTheme="minorHAnsi"/>
          <w:color w:val="000000"/>
          <w:sz w:val="22"/>
          <w:szCs w:val="22"/>
        </w:rPr>
        <w:t>sikring af Ejerfortegnelsen</w:t>
      </w:r>
      <w:r w:rsidR="00A03187">
        <w:rPr>
          <w:rFonts w:asciiTheme="minorHAnsi" w:hAnsiTheme="minorHAnsi"/>
          <w:color w:val="000000"/>
          <w:sz w:val="22"/>
          <w:szCs w:val="22"/>
        </w:rPr>
        <w:t>s</w:t>
      </w:r>
      <w:r w:rsidR="007B5475">
        <w:rPr>
          <w:rFonts w:asciiTheme="minorHAnsi" w:hAnsiTheme="minorHAnsi"/>
          <w:color w:val="000000"/>
          <w:sz w:val="22"/>
          <w:szCs w:val="22"/>
        </w:rPr>
        <w:t xml:space="preserve"> </w:t>
      </w:r>
      <w:r w:rsidR="009126E9">
        <w:rPr>
          <w:rFonts w:asciiTheme="minorHAnsi" w:hAnsiTheme="minorHAnsi"/>
          <w:color w:val="000000"/>
          <w:sz w:val="22"/>
          <w:szCs w:val="22"/>
        </w:rPr>
        <w:t xml:space="preserve">sammenhæng til </w:t>
      </w:r>
      <w:r w:rsidR="007B5475">
        <w:rPr>
          <w:rFonts w:asciiTheme="minorHAnsi" w:hAnsiTheme="minorHAnsi"/>
          <w:color w:val="000000"/>
          <w:sz w:val="22"/>
          <w:szCs w:val="22"/>
        </w:rPr>
        <w:t>Ejendomsdataprogrammet og Grunddataprogrammet</w:t>
      </w:r>
      <w:r>
        <w:rPr>
          <w:rFonts w:asciiTheme="minorHAnsi" w:hAnsiTheme="minorHAnsi"/>
          <w:color w:val="000000"/>
          <w:sz w:val="22"/>
          <w:szCs w:val="22"/>
        </w:rPr>
        <w:t xml:space="preserve"> i øvrigt.</w:t>
      </w:r>
      <w:r w:rsidR="009126E9">
        <w:rPr>
          <w:rFonts w:asciiTheme="minorHAnsi" w:hAnsiTheme="minorHAnsi"/>
          <w:color w:val="000000"/>
          <w:sz w:val="22"/>
          <w:szCs w:val="22"/>
        </w:rPr>
        <w:t xml:space="preserve"> Løsningsarkitekturen udarbejdes i tæt samarbejde </w:t>
      </w:r>
      <w:r w:rsidR="00172FC2">
        <w:rPr>
          <w:rFonts w:asciiTheme="minorHAnsi" w:hAnsiTheme="minorHAnsi"/>
          <w:color w:val="000000"/>
          <w:sz w:val="22"/>
          <w:szCs w:val="22"/>
        </w:rPr>
        <w:t xml:space="preserve">med </w:t>
      </w:r>
      <w:r w:rsidR="005826E2">
        <w:rPr>
          <w:rFonts w:asciiTheme="minorHAnsi" w:hAnsiTheme="minorHAnsi"/>
          <w:color w:val="000000"/>
          <w:sz w:val="22"/>
          <w:szCs w:val="22"/>
        </w:rPr>
        <w:t>og godkendes af</w:t>
      </w:r>
      <w:r w:rsidR="009126E9">
        <w:rPr>
          <w:rFonts w:asciiTheme="minorHAnsi" w:hAnsiTheme="minorHAnsi"/>
          <w:color w:val="000000"/>
          <w:sz w:val="22"/>
          <w:szCs w:val="22"/>
        </w:rPr>
        <w:t xml:space="preserve"> TLR.</w:t>
      </w:r>
    </w:p>
    <w:p w:rsidR="007B5475" w:rsidRDefault="007B5475" w:rsidP="00EF4198">
      <w:pPr>
        <w:pStyle w:val="Almindeligtekst"/>
        <w:numPr>
          <w:ilvl w:val="0"/>
          <w:numId w:val="20"/>
        </w:numPr>
        <w:rPr>
          <w:rFonts w:asciiTheme="minorHAnsi" w:hAnsiTheme="minorHAnsi"/>
          <w:color w:val="000000"/>
          <w:sz w:val="22"/>
          <w:szCs w:val="22"/>
        </w:rPr>
      </w:pPr>
      <w:r>
        <w:rPr>
          <w:rFonts w:asciiTheme="minorHAnsi" w:hAnsiTheme="minorHAnsi"/>
          <w:color w:val="000000"/>
          <w:sz w:val="22"/>
          <w:szCs w:val="22"/>
        </w:rPr>
        <w:t xml:space="preserve">Udarbejdelse af </w:t>
      </w:r>
      <w:r w:rsidR="002E0F59">
        <w:rPr>
          <w:rFonts w:asciiTheme="minorHAnsi" w:hAnsiTheme="minorHAnsi"/>
          <w:color w:val="000000"/>
          <w:sz w:val="22"/>
          <w:szCs w:val="22"/>
        </w:rPr>
        <w:t xml:space="preserve">forretningsmæssige </w:t>
      </w:r>
      <w:r>
        <w:rPr>
          <w:rFonts w:asciiTheme="minorHAnsi" w:hAnsiTheme="minorHAnsi"/>
          <w:color w:val="000000"/>
          <w:sz w:val="22"/>
          <w:szCs w:val="22"/>
        </w:rPr>
        <w:t>krav til Ejerfortegnelsen</w:t>
      </w:r>
      <w:r w:rsidR="00172FC2">
        <w:rPr>
          <w:rFonts w:asciiTheme="minorHAnsi" w:hAnsiTheme="minorHAnsi"/>
          <w:color w:val="000000"/>
          <w:sz w:val="22"/>
          <w:szCs w:val="22"/>
        </w:rPr>
        <w:t>, herunder regler for validering og fejlhåndtering i relation til ejendomsbeskatningen</w:t>
      </w:r>
      <w:r>
        <w:rPr>
          <w:rFonts w:asciiTheme="minorHAnsi" w:hAnsiTheme="minorHAnsi"/>
          <w:color w:val="000000"/>
          <w:sz w:val="22"/>
          <w:szCs w:val="22"/>
        </w:rPr>
        <w:t>. Dette sker i samarbejde med KL</w:t>
      </w:r>
      <w:r w:rsidR="00BD5D10">
        <w:rPr>
          <w:rFonts w:asciiTheme="minorHAnsi" w:hAnsiTheme="minorHAnsi"/>
          <w:color w:val="000000"/>
          <w:sz w:val="22"/>
          <w:szCs w:val="22"/>
        </w:rPr>
        <w:t xml:space="preserve">, </w:t>
      </w:r>
      <w:r>
        <w:rPr>
          <w:rFonts w:asciiTheme="minorHAnsi" w:hAnsiTheme="minorHAnsi"/>
          <w:color w:val="000000"/>
          <w:sz w:val="22"/>
          <w:szCs w:val="22"/>
        </w:rPr>
        <w:t>SKAT og TLR.</w:t>
      </w:r>
    </w:p>
    <w:p w:rsidR="00EF4198" w:rsidRDefault="00545EDC" w:rsidP="00EF4198">
      <w:pPr>
        <w:pStyle w:val="Almindeligtekst"/>
        <w:numPr>
          <w:ilvl w:val="0"/>
          <w:numId w:val="20"/>
        </w:numPr>
        <w:rPr>
          <w:rFonts w:asciiTheme="minorHAnsi" w:hAnsiTheme="minorHAnsi"/>
          <w:color w:val="000000"/>
          <w:sz w:val="22"/>
          <w:szCs w:val="22"/>
        </w:rPr>
      </w:pPr>
      <w:r>
        <w:rPr>
          <w:rFonts w:asciiTheme="minorHAnsi" w:hAnsiTheme="minorHAnsi"/>
          <w:color w:val="000000"/>
          <w:sz w:val="22"/>
          <w:szCs w:val="22"/>
        </w:rPr>
        <w:lastRenderedPageBreak/>
        <w:t>Under udviklingen af Ejerfortegnelsen omfatter opgaverne bl.a.</w:t>
      </w:r>
    </w:p>
    <w:p w:rsidR="00545EDC" w:rsidRDefault="00545EDC" w:rsidP="00545EDC">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 xml:space="preserve">Deltagelse i projektmøder </w:t>
      </w:r>
      <w:r w:rsidR="00AC6438">
        <w:rPr>
          <w:rFonts w:asciiTheme="minorHAnsi" w:hAnsiTheme="minorHAnsi"/>
          <w:color w:val="000000"/>
          <w:sz w:val="22"/>
          <w:szCs w:val="22"/>
        </w:rPr>
        <w:t>med TLR</w:t>
      </w:r>
    </w:p>
    <w:p w:rsidR="00545EDC" w:rsidRDefault="00545EDC" w:rsidP="00545EDC">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 xml:space="preserve">Kvalitetssikring/godkendelse af projektleverancer, </w:t>
      </w:r>
      <w:r w:rsidR="007B5475">
        <w:rPr>
          <w:rFonts w:asciiTheme="minorHAnsi" w:hAnsiTheme="minorHAnsi"/>
          <w:color w:val="000000"/>
          <w:sz w:val="22"/>
          <w:szCs w:val="22"/>
        </w:rPr>
        <w:t xml:space="preserve">f.eks. kravspecifikation, </w:t>
      </w:r>
      <w:r>
        <w:rPr>
          <w:rFonts w:asciiTheme="minorHAnsi" w:hAnsiTheme="minorHAnsi"/>
          <w:color w:val="000000"/>
          <w:sz w:val="22"/>
          <w:szCs w:val="22"/>
        </w:rPr>
        <w:t>løsningsdesign</w:t>
      </w:r>
      <w:r w:rsidR="007B5475">
        <w:rPr>
          <w:rFonts w:asciiTheme="minorHAnsi" w:hAnsiTheme="minorHAnsi"/>
          <w:color w:val="000000"/>
          <w:sz w:val="22"/>
          <w:szCs w:val="22"/>
        </w:rPr>
        <w:t xml:space="preserve"> samt tværgående tests</w:t>
      </w:r>
    </w:p>
    <w:p w:rsidR="00545EDC" w:rsidRDefault="00545EDC" w:rsidP="00545EDC">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Monitorering af fremdrift</w:t>
      </w:r>
      <w:r w:rsidR="00FD71E9">
        <w:rPr>
          <w:rFonts w:asciiTheme="minorHAnsi" w:hAnsiTheme="minorHAnsi"/>
          <w:color w:val="000000"/>
          <w:sz w:val="22"/>
          <w:szCs w:val="22"/>
        </w:rPr>
        <w:t xml:space="preserve"> vedr. udvikling og idriftsættelse af Ejerfortegnelsen</w:t>
      </w:r>
    </w:p>
    <w:p w:rsidR="00F37066" w:rsidRPr="00F37066" w:rsidRDefault="00545EDC" w:rsidP="00F37066">
      <w:pPr>
        <w:pStyle w:val="Almindeligtekst"/>
        <w:numPr>
          <w:ilvl w:val="1"/>
          <w:numId w:val="20"/>
        </w:numPr>
        <w:rPr>
          <w:rFonts w:asciiTheme="minorHAnsi" w:hAnsiTheme="minorHAnsi"/>
          <w:color w:val="000000"/>
          <w:sz w:val="22"/>
          <w:szCs w:val="22"/>
        </w:rPr>
      </w:pPr>
      <w:r>
        <w:rPr>
          <w:rFonts w:asciiTheme="minorHAnsi" w:hAnsiTheme="minorHAnsi"/>
          <w:color w:val="000000"/>
          <w:sz w:val="22"/>
          <w:szCs w:val="22"/>
        </w:rPr>
        <w:t>In</w:t>
      </w:r>
      <w:r w:rsidR="00F37066">
        <w:rPr>
          <w:rFonts w:asciiTheme="minorHAnsi" w:hAnsiTheme="minorHAnsi"/>
          <w:color w:val="000000"/>
          <w:sz w:val="22"/>
          <w:szCs w:val="22"/>
        </w:rPr>
        <w:t xml:space="preserve">ddragelse og høring af </w:t>
      </w:r>
      <w:r w:rsidR="004935CC">
        <w:rPr>
          <w:rFonts w:asciiTheme="minorHAnsi" w:hAnsiTheme="minorHAnsi"/>
          <w:color w:val="000000"/>
          <w:sz w:val="22"/>
          <w:szCs w:val="22"/>
        </w:rPr>
        <w:t>KL, SKAT og andre</w:t>
      </w:r>
      <w:r>
        <w:rPr>
          <w:rFonts w:asciiTheme="minorHAnsi" w:hAnsiTheme="minorHAnsi"/>
          <w:color w:val="000000"/>
          <w:sz w:val="22"/>
          <w:szCs w:val="22"/>
        </w:rPr>
        <w:t xml:space="preserve"> data</w:t>
      </w:r>
      <w:r w:rsidR="00F37066">
        <w:rPr>
          <w:rFonts w:asciiTheme="minorHAnsi" w:hAnsiTheme="minorHAnsi"/>
          <w:color w:val="000000"/>
          <w:sz w:val="22"/>
          <w:szCs w:val="22"/>
        </w:rPr>
        <w:t>anvendere</w:t>
      </w:r>
    </w:p>
    <w:p w:rsidR="00F37066" w:rsidRDefault="00F37066" w:rsidP="00F37066">
      <w:pPr>
        <w:pStyle w:val="Almindeligtekst"/>
        <w:rPr>
          <w:rFonts w:asciiTheme="minorHAnsi" w:hAnsiTheme="minorHAnsi"/>
          <w:color w:val="000000"/>
          <w:sz w:val="22"/>
          <w:szCs w:val="22"/>
        </w:rPr>
      </w:pPr>
    </w:p>
    <w:p w:rsidR="00FF6B38" w:rsidRDefault="00F37066" w:rsidP="00F37066">
      <w:pPr>
        <w:pStyle w:val="Almindeligtekst"/>
        <w:rPr>
          <w:rFonts w:asciiTheme="minorHAnsi" w:hAnsiTheme="minorHAnsi"/>
          <w:color w:val="000000"/>
          <w:sz w:val="22"/>
          <w:szCs w:val="22"/>
        </w:rPr>
      </w:pPr>
      <w:r w:rsidRPr="00683AAD">
        <w:rPr>
          <w:rFonts w:asciiTheme="minorHAnsi" w:hAnsiTheme="minorHAnsi"/>
          <w:color w:val="000000"/>
          <w:sz w:val="22"/>
          <w:szCs w:val="22"/>
        </w:rPr>
        <w:t>Efter idriftsættelsen af Ejerfortegnelsen</w:t>
      </w:r>
      <w:r w:rsidRPr="00390038">
        <w:rPr>
          <w:rFonts w:asciiTheme="minorHAnsi" w:hAnsiTheme="minorHAnsi"/>
          <w:color w:val="000000"/>
          <w:sz w:val="22"/>
          <w:szCs w:val="22"/>
        </w:rPr>
        <w:t xml:space="preserve"> vil der i lighed med øvrige grunddataregistre</w:t>
      </w:r>
      <w:r w:rsidR="00AB5CBB" w:rsidRPr="00366B5F">
        <w:rPr>
          <w:rFonts w:asciiTheme="minorHAnsi" w:hAnsiTheme="minorHAnsi"/>
          <w:color w:val="000000"/>
          <w:sz w:val="22"/>
          <w:szCs w:val="22"/>
        </w:rPr>
        <w:t xml:space="preserve"> være</w:t>
      </w:r>
      <w:r w:rsidRPr="00366B5F">
        <w:rPr>
          <w:rFonts w:asciiTheme="minorHAnsi" w:hAnsiTheme="minorHAnsi"/>
          <w:color w:val="000000"/>
          <w:sz w:val="22"/>
          <w:szCs w:val="22"/>
        </w:rPr>
        <w:t xml:space="preserve"> et beho</w:t>
      </w:r>
      <w:r w:rsidR="00AB5CBB" w:rsidRPr="00366B5F">
        <w:rPr>
          <w:rFonts w:asciiTheme="minorHAnsi" w:hAnsiTheme="minorHAnsi"/>
          <w:color w:val="000000"/>
          <w:sz w:val="22"/>
          <w:szCs w:val="22"/>
        </w:rPr>
        <w:t>v</w:t>
      </w:r>
      <w:r w:rsidR="001A6108" w:rsidRPr="00366B5F">
        <w:rPr>
          <w:rFonts w:asciiTheme="minorHAnsi" w:hAnsiTheme="minorHAnsi"/>
          <w:color w:val="000000"/>
          <w:sz w:val="22"/>
          <w:szCs w:val="22"/>
        </w:rPr>
        <w:t xml:space="preserve"> for</w:t>
      </w:r>
      <w:r w:rsidR="00AB5CBB" w:rsidRPr="00366B5F">
        <w:rPr>
          <w:rFonts w:asciiTheme="minorHAnsi" w:hAnsiTheme="minorHAnsi"/>
          <w:color w:val="000000"/>
          <w:sz w:val="22"/>
          <w:szCs w:val="22"/>
        </w:rPr>
        <w:t xml:space="preserve"> en forankring af </w:t>
      </w:r>
      <w:r w:rsidR="004247B2" w:rsidRPr="00366B5F">
        <w:rPr>
          <w:rFonts w:asciiTheme="minorHAnsi" w:hAnsiTheme="minorHAnsi"/>
          <w:color w:val="000000"/>
          <w:sz w:val="22"/>
          <w:szCs w:val="22"/>
        </w:rPr>
        <w:t xml:space="preserve">opgaven med at </w:t>
      </w:r>
      <w:r w:rsidR="00B05820" w:rsidRPr="00366B5F">
        <w:rPr>
          <w:rFonts w:asciiTheme="minorHAnsi" w:hAnsiTheme="minorHAnsi"/>
          <w:color w:val="000000"/>
          <w:sz w:val="22"/>
          <w:szCs w:val="22"/>
        </w:rPr>
        <w:t>ind</w:t>
      </w:r>
      <w:r w:rsidR="00CE475F" w:rsidRPr="00366B5F">
        <w:rPr>
          <w:rFonts w:asciiTheme="minorHAnsi" w:hAnsiTheme="minorHAnsi"/>
          <w:color w:val="000000"/>
          <w:sz w:val="22"/>
          <w:szCs w:val="22"/>
        </w:rPr>
        <w:t>saml</w:t>
      </w:r>
      <w:r w:rsidR="004247B2" w:rsidRPr="00366B5F">
        <w:rPr>
          <w:rFonts w:asciiTheme="minorHAnsi" w:hAnsiTheme="minorHAnsi"/>
          <w:color w:val="000000"/>
          <w:sz w:val="22"/>
          <w:szCs w:val="22"/>
        </w:rPr>
        <w:t>e</w:t>
      </w:r>
      <w:r w:rsidR="00F26F2D">
        <w:rPr>
          <w:rFonts w:asciiTheme="minorHAnsi" w:hAnsiTheme="minorHAnsi"/>
          <w:color w:val="000000"/>
          <w:sz w:val="22"/>
          <w:szCs w:val="22"/>
        </w:rPr>
        <w:t>, koordinere</w:t>
      </w:r>
      <w:r w:rsidR="00CE475F" w:rsidRPr="00390038">
        <w:rPr>
          <w:rFonts w:asciiTheme="minorHAnsi" w:hAnsiTheme="minorHAnsi"/>
          <w:color w:val="000000"/>
          <w:sz w:val="22"/>
          <w:szCs w:val="22"/>
        </w:rPr>
        <w:t xml:space="preserve"> og formidl</w:t>
      </w:r>
      <w:r w:rsidR="004247B2" w:rsidRPr="00366B5F">
        <w:rPr>
          <w:rFonts w:asciiTheme="minorHAnsi" w:hAnsiTheme="minorHAnsi"/>
          <w:color w:val="000000"/>
          <w:sz w:val="22"/>
          <w:szCs w:val="22"/>
        </w:rPr>
        <w:t>e</w:t>
      </w:r>
      <w:r w:rsidR="00CE475F" w:rsidRPr="00366B5F">
        <w:rPr>
          <w:rFonts w:asciiTheme="minorHAnsi" w:hAnsiTheme="minorHAnsi"/>
          <w:color w:val="000000"/>
          <w:sz w:val="22"/>
          <w:szCs w:val="22"/>
        </w:rPr>
        <w:t xml:space="preserve"> </w:t>
      </w:r>
      <w:r w:rsidR="00FF6B38">
        <w:rPr>
          <w:rFonts w:asciiTheme="minorHAnsi" w:hAnsiTheme="minorHAnsi"/>
          <w:color w:val="000000"/>
          <w:sz w:val="22"/>
          <w:szCs w:val="22"/>
        </w:rPr>
        <w:t>KL</w:t>
      </w:r>
      <w:r w:rsidR="00285E5B">
        <w:rPr>
          <w:rFonts w:asciiTheme="minorHAnsi" w:hAnsiTheme="minorHAnsi"/>
          <w:color w:val="000000"/>
          <w:sz w:val="22"/>
          <w:szCs w:val="22"/>
        </w:rPr>
        <w:t>´s</w:t>
      </w:r>
      <w:r w:rsidR="00FF6B38">
        <w:rPr>
          <w:rFonts w:asciiTheme="minorHAnsi" w:hAnsiTheme="minorHAnsi"/>
          <w:color w:val="000000"/>
          <w:sz w:val="22"/>
          <w:szCs w:val="22"/>
        </w:rPr>
        <w:t>, SKAT</w:t>
      </w:r>
      <w:r w:rsidR="00285E5B">
        <w:rPr>
          <w:rFonts w:asciiTheme="minorHAnsi" w:hAnsiTheme="minorHAnsi"/>
          <w:color w:val="000000"/>
          <w:sz w:val="22"/>
          <w:szCs w:val="22"/>
        </w:rPr>
        <w:t>´s</w:t>
      </w:r>
      <w:r w:rsidR="00FF6B38">
        <w:rPr>
          <w:rFonts w:asciiTheme="minorHAnsi" w:hAnsiTheme="minorHAnsi"/>
          <w:color w:val="000000"/>
          <w:sz w:val="22"/>
          <w:szCs w:val="22"/>
        </w:rPr>
        <w:t xml:space="preserve"> og andre </w:t>
      </w:r>
      <w:r w:rsidR="00B05820" w:rsidRPr="00683AAD">
        <w:rPr>
          <w:rFonts w:asciiTheme="minorHAnsi" w:hAnsiTheme="minorHAnsi"/>
          <w:color w:val="000000"/>
          <w:sz w:val="22"/>
          <w:szCs w:val="22"/>
        </w:rPr>
        <w:t>dataanvendernes</w:t>
      </w:r>
      <w:r w:rsidR="00FF6B38">
        <w:rPr>
          <w:rFonts w:asciiTheme="minorHAnsi" w:hAnsiTheme="minorHAnsi"/>
          <w:color w:val="000000"/>
          <w:sz w:val="22"/>
          <w:szCs w:val="22"/>
        </w:rPr>
        <w:t xml:space="preserve"> f</w:t>
      </w:r>
      <w:r w:rsidR="00CE475F" w:rsidRPr="00390038">
        <w:rPr>
          <w:rFonts w:asciiTheme="minorHAnsi" w:hAnsiTheme="minorHAnsi"/>
          <w:color w:val="000000"/>
          <w:sz w:val="22"/>
          <w:szCs w:val="22"/>
        </w:rPr>
        <w:t>orretnings</w:t>
      </w:r>
      <w:r w:rsidR="00B05820" w:rsidRPr="00366B5F">
        <w:rPr>
          <w:rFonts w:asciiTheme="minorHAnsi" w:hAnsiTheme="minorHAnsi"/>
          <w:color w:val="000000"/>
          <w:sz w:val="22"/>
          <w:szCs w:val="22"/>
        </w:rPr>
        <w:t>krav til</w:t>
      </w:r>
      <w:r w:rsidRPr="00366B5F">
        <w:rPr>
          <w:rFonts w:asciiTheme="minorHAnsi" w:hAnsiTheme="minorHAnsi"/>
          <w:color w:val="000000"/>
          <w:sz w:val="22"/>
          <w:szCs w:val="22"/>
        </w:rPr>
        <w:t xml:space="preserve"> Ejerfortegnelsen</w:t>
      </w:r>
      <w:r w:rsidR="00AB5CBB" w:rsidRPr="00366B5F">
        <w:rPr>
          <w:rFonts w:asciiTheme="minorHAnsi" w:hAnsiTheme="minorHAnsi"/>
          <w:color w:val="000000"/>
          <w:sz w:val="22"/>
          <w:szCs w:val="22"/>
        </w:rPr>
        <w:t xml:space="preserve">. </w:t>
      </w:r>
      <w:r w:rsidR="00D4325A" w:rsidRPr="00366B5F">
        <w:rPr>
          <w:rFonts w:asciiTheme="minorHAnsi" w:hAnsiTheme="minorHAnsi"/>
          <w:color w:val="000000"/>
          <w:sz w:val="22"/>
          <w:szCs w:val="22"/>
        </w:rPr>
        <w:t xml:space="preserve"> </w:t>
      </w:r>
      <w:r w:rsidR="00F26F2D">
        <w:rPr>
          <w:rFonts w:asciiTheme="minorHAnsi" w:hAnsiTheme="minorHAnsi"/>
          <w:color w:val="000000"/>
          <w:sz w:val="22"/>
          <w:szCs w:val="22"/>
        </w:rPr>
        <w:t xml:space="preserve">Denne grunddataopgave forankres i </w:t>
      </w:r>
      <w:r w:rsidR="00B05820" w:rsidRPr="00683AAD">
        <w:rPr>
          <w:rFonts w:asciiTheme="minorHAnsi" w:hAnsiTheme="minorHAnsi"/>
          <w:color w:val="000000"/>
          <w:sz w:val="22"/>
          <w:szCs w:val="22"/>
        </w:rPr>
        <w:t>MBBL</w:t>
      </w:r>
      <w:r w:rsidR="00F26F2D">
        <w:rPr>
          <w:rFonts w:asciiTheme="minorHAnsi" w:hAnsiTheme="minorHAnsi"/>
          <w:color w:val="000000"/>
          <w:sz w:val="22"/>
          <w:szCs w:val="22"/>
        </w:rPr>
        <w:t xml:space="preserve">. </w:t>
      </w:r>
    </w:p>
    <w:p w:rsidR="00FF6B38" w:rsidRDefault="00FF6B38" w:rsidP="00F37066">
      <w:pPr>
        <w:pStyle w:val="Almindeligtekst"/>
        <w:rPr>
          <w:rFonts w:asciiTheme="minorHAnsi" w:hAnsiTheme="minorHAnsi"/>
          <w:color w:val="000000"/>
          <w:sz w:val="22"/>
          <w:szCs w:val="22"/>
        </w:rPr>
      </w:pPr>
    </w:p>
    <w:p w:rsidR="00F37066" w:rsidRPr="00366B5F" w:rsidRDefault="00F26F2D" w:rsidP="00F37066">
      <w:pPr>
        <w:pStyle w:val="Almindeligtekst"/>
        <w:rPr>
          <w:rFonts w:asciiTheme="minorHAnsi" w:hAnsiTheme="minorHAnsi"/>
          <w:color w:val="000000"/>
          <w:sz w:val="22"/>
          <w:szCs w:val="22"/>
        </w:rPr>
      </w:pPr>
      <w:r>
        <w:rPr>
          <w:rFonts w:asciiTheme="minorHAnsi" w:hAnsiTheme="minorHAnsi"/>
          <w:color w:val="000000"/>
          <w:sz w:val="22"/>
          <w:szCs w:val="22"/>
        </w:rPr>
        <w:t xml:space="preserve">TLR </w:t>
      </w:r>
      <w:r w:rsidR="00FF6B38">
        <w:rPr>
          <w:rFonts w:asciiTheme="minorHAnsi" w:hAnsiTheme="minorHAnsi"/>
          <w:color w:val="000000"/>
          <w:sz w:val="22"/>
          <w:szCs w:val="22"/>
        </w:rPr>
        <w:t>har ansvaret for</w:t>
      </w:r>
      <w:r w:rsidR="00BD2B78" w:rsidRPr="00366B5F">
        <w:rPr>
          <w:rFonts w:asciiTheme="minorHAnsi" w:hAnsiTheme="minorHAnsi"/>
          <w:color w:val="000000"/>
          <w:sz w:val="22"/>
          <w:szCs w:val="22"/>
        </w:rPr>
        <w:t>,</w:t>
      </w:r>
      <w:r w:rsidR="00AB5CBB" w:rsidRPr="00366B5F">
        <w:rPr>
          <w:rFonts w:asciiTheme="minorHAnsi" w:hAnsiTheme="minorHAnsi"/>
          <w:color w:val="000000"/>
          <w:sz w:val="22"/>
          <w:szCs w:val="22"/>
        </w:rPr>
        <w:t xml:space="preserve"> at Ejendomsfortegnelsen </w:t>
      </w:r>
      <w:r w:rsidR="00FF6B38">
        <w:rPr>
          <w:rFonts w:asciiTheme="minorHAnsi" w:hAnsiTheme="minorHAnsi"/>
          <w:color w:val="000000"/>
          <w:sz w:val="22"/>
          <w:szCs w:val="22"/>
        </w:rPr>
        <w:t xml:space="preserve">til stadighed </w:t>
      </w:r>
      <w:r w:rsidR="00AB5CBB" w:rsidRPr="00683AAD">
        <w:rPr>
          <w:rFonts w:asciiTheme="minorHAnsi" w:hAnsiTheme="minorHAnsi"/>
          <w:color w:val="000000"/>
          <w:sz w:val="22"/>
          <w:szCs w:val="22"/>
        </w:rPr>
        <w:t>lever op til kravene om et autoritativt register og udvikles i takt med øvrige grunddataregistre</w:t>
      </w:r>
      <w:r w:rsidR="00285E5B">
        <w:rPr>
          <w:rFonts w:asciiTheme="minorHAnsi" w:hAnsiTheme="minorHAnsi"/>
          <w:color w:val="000000"/>
          <w:sz w:val="22"/>
          <w:szCs w:val="22"/>
        </w:rPr>
        <w:t xml:space="preserve">, herunder hensyntagen til </w:t>
      </w:r>
      <w:r w:rsidR="00285E5B" w:rsidRPr="00683AAD">
        <w:rPr>
          <w:rFonts w:asciiTheme="minorHAnsi" w:hAnsiTheme="minorHAnsi"/>
          <w:color w:val="000000"/>
          <w:sz w:val="22"/>
          <w:szCs w:val="22"/>
        </w:rPr>
        <w:t>dataanvendernes</w:t>
      </w:r>
      <w:r w:rsidR="00285E5B">
        <w:rPr>
          <w:rFonts w:asciiTheme="minorHAnsi" w:hAnsiTheme="minorHAnsi"/>
          <w:color w:val="000000"/>
          <w:sz w:val="22"/>
          <w:szCs w:val="22"/>
        </w:rPr>
        <w:t xml:space="preserve"> f</w:t>
      </w:r>
      <w:r w:rsidR="00285E5B" w:rsidRPr="00390038">
        <w:rPr>
          <w:rFonts w:asciiTheme="minorHAnsi" w:hAnsiTheme="minorHAnsi"/>
          <w:color w:val="000000"/>
          <w:sz w:val="22"/>
          <w:szCs w:val="22"/>
        </w:rPr>
        <w:t>orretnings</w:t>
      </w:r>
      <w:r w:rsidR="00285E5B" w:rsidRPr="00366B5F">
        <w:rPr>
          <w:rFonts w:asciiTheme="minorHAnsi" w:hAnsiTheme="minorHAnsi"/>
          <w:color w:val="000000"/>
          <w:sz w:val="22"/>
          <w:szCs w:val="22"/>
        </w:rPr>
        <w:t>krav</w:t>
      </w:r>
      <w:r w:rsidR="005A2B3F" w:rsidRPr="00390038">
        <w:rPr>
          <w:rFonts w:asciiTheme="minorHAnsi" w:hAnsiTheme="minorHAnsi"/>
          <w:color w:val="000000"/>
          <w:sz w:val="22"/>
          <w:szCs w:val="22"/>
        </w:rPr>
        <w:t>.</w:t>
      </w:r>
      <w:r w:rsidR="00F15EB7" w:rsidRPr="00366B5F">
        <w:rPr>
          <w:rFonts w:asciiTheme="minorHAnsi" w:hAnsiTheme="minorHAnsi"/>
          <w:color w:val="000000"/>
          <w:sz w:val="22"/>
          <w:szCs w:val="22"/>
        </w:rPr>
        <w:t xml:space="preserve"> </w:t>
      </w:r>
    </w:p>
    <w:p w:rsidR="00486AAC" w:rsidRPr="00366B5F" w:rsidRDefault="00486AAC" w:rsidP="00F37066">
      <w:pPr>
        <w:pStyle w:val="Almindeligtekst"/>
        <w:rPr>
          <w:rFonts w:asciiTheme="minorHAnsi" w:hAnsiTheme="minorHAnsi"/>
          <w:color w:val="000000"/>
          <w:sz w:val="22"/>
          <w:szCs w:val="22"/>
        </w:rPr>
      </w:pPr>
    </w:p>
    <w:p w:rsidR="00833C6A" w:rsidRPr="00366B5F" w:rsidRDefault="00833C6A" w:rsidP="00F37066">
      <w:pPr>
        <w:pStyle w:val="Almindeligtekst"/>
        <w:rPr>
          <w:rFonts w:asciiTheme="minorHAnsi" w:hAnsiTheme="minorHAnsi"/>
          <w:color w:val="000000"/>
          <w:sz w:val="22"/>
          <w:szCs w:val="22"/>
        </w:rPr>
      </w:pPr>
      <w:r w:rsidRPr="00366B5F">
        <w:rPr>
          <w:rFonts w:asciiTheme="minorHAnsi" w:hAnsiTheme="minorHAnsi"/>
          <w:color w:val="000000"/>
          <w:sz w:val="22"/>
          <w:szCs w:val="22"/>
        </w:rPr>
        <w:t xml:space="preserve">For </w:t>
      </w:r>
      <w:r w:rsidR="001304E3">
        <w:rPr>
          <w:rFonts w:asciiTheme="minorHAnsi" w:hAnsiTheme="minorHAnsi"/>
          <w:color w:val="000000"/>
          <w:sz w:val="22"/>
          <w:szCs w:val="22"/>
        </w:rPr>
        <w:t xml:space="preserve">en </w:t>
      </w:r>
      <w:r w:rsidRPr="00366B5F">
        <w:rPr>
          <w:rFonts w:asciiTheme="minorHAnsi" w:hAnsiTheme="minorHAnsi"/>
          <w:color w:val="000000"/>
          <w:sz w:val="22"/>
          <w:szCs w:val="22"/>
        </w:rPr>
        <w:t>orden</w:t>
      </w:r>
      <w:r w:rsidR="001304E3">
        <w:rPr>
          <w:rFonts w:asciiTheme="minorHAnsi" w:hAnsiTheme="minorHAnsi"/>
          <w:color w:val="000000"/>
          <w:sz w:val="22"/>
          <w:szCs w:val="22"/>
        </w:rPr>
        <w:t>s</w:t>
      </w:r>
      <w:r w:rsidRPr="00366B5F">
        <w:rPr>
          <w:rFonts w:asciiTheme="minorHAnsi" w:hAnsiTheme="minorHAnsi"/>
          <w:color w:val="000000"/>
          <w:sz w:val="22"/>
          <w:szCs w:val="22"/>
        </w:rPr>
        <w:t xml:space="preserve"> skyld skal det nævnes, at MBBL´s opgaver i forbindelse med programledelse og programsekretariat for GD1 varetages som hidtil og ikke er påvirket af ovenstående opgaveflytning.  </w:t>
      </w:r>
    </w:p>
    <w:p w:rsidR="0033528B" w:rsidRPr="00024A63" w:rsidRDefault="0033528B" w:rsidP="00024A63">
      <w:pPr>
        <w:pStyle w:val="Almindeligtekst"/>
        <w:ind w:left="408"/>
        <w:rPr>
          <w:rFonts w:asciiTheme="minorHAnsi" w:hAnsiTheme="minorHAnsi"/>
          <w:color w:val="000000"/>
          <w:sz w:val="22"/>
          <w:szCs w:val="22"/>
        </w:rPr>
      </w:pPr>
    </w:p>
    <w:p w:rsidR="0033528B" w:rsidRPr="00DE7BA7" w:rsidRDefault="0033528B" w:rsidP="00FD76F1">
      <w:pPr>
        <w:spacing w:after="0" w:line="240" w:lineRule="auto"/>
        <w:rPr>
          <w:b/>
        </w:rPr>
      </w:pPr>
      <w:r w:rsidRPr="00DE7BA7">
        <w:rPr>
          <w:b/>
        </w:rPr>
        <w:t>Opgaver i relation til Geodatastyrelsen</w:t>
      </w:r>
    </w:p>
    <w:p w:rsidR="00FD76F1" w:rsidRDefault="0033528B" w:rsidP="00FD76F1">
      <w:pPr>
        <w:spacing w:after="0" w:line="240" w:lineRule="auto"/>
      </w:pPr>
      <w:r w:rsidRPr="00DE7BA7">
        <w:t xml:space="preserve">Den nye samarbejdsmodel ændrer ikke på opgavefordelingen mellem TLR og Geodatastyrelsen. Her videreføres den fordeling af opgaverne som er fastlagt i delaftale 1 og programstyringsdokumentet. </w:t>
      </w:r>
    </w:p>
    <w:p w:rsidR="00FD76F1" w:rsidRDefault="00FD76F1" w:rsidP="00366B5F">
      <w:pPr>
        <w:spacing w:after="0" w:line="240" w:lineRule="auto"/>
      </w:pPr>
    </w:p>
    <w:p w:rsidR="00FD76F1" w:rsidRDefault="00124EFA" w:rsidP="00366B5F">
      <w:pPr>
        <w:spacing w:after="0" w:line="240" w:lineRule="auto"/>
      </w:pPr>
      <w:r>
        <w:t xml:space="preserve">I </w:t>
      </w:r>
      <w:r w:rsidR="00FD76F1">
        <w:t xml:space="preserve">forbindelse med </w:t>
      </w:r>
      <w:r>
        <w:t xml:space="preserve">arbejdet med </w:t>
      </w:r>
      <w:r w:rsidR="00FD76F1">
        <w:t>løsningsarkitektur</w:t>
      </w:r>
      <w:r>
        <w:t>er</w:t>
      </w:r>
      <w:r w:rsidR="0002645F">
        <w:t xml:space="preserve"> for Matrikel og Tingbog</w:t>
      </w:r>
      <w:r>
        <w:t xml:space="preserve"> skal </w:t>
      </w:r>
      <w:r w:rsidR="002E11AB">
        <w:t>der</w:t>
      </w:r>
      <w:r>
        <w:t xml:space="preserve"> </w:t>
      </w:r>
      <w:r w:rsidR="0002645F">
        <w:t>fastlægge en plan for</w:t>
      </w:r>
      <w:r w:rsidR="002E11AB">
        <w:t>, hvorledes og i hvilket omfang</w:t>
      </w:r>
      <w:r w:rsidR="0002645F">
        <w:t xml:space="preserve"> </w:t>
      </w:r>
      <w:r w:rsidR="00FD76F1" w:rsidRPr="00DE7BA7">
        <w:t>TLR</w:t>
      </w:r>
      <w:r w:rsidR="002E11AB">
        <w:t xml:space="preserve"> skal</w:t>
      </w:r>
      <w:r w:rsidR="00FD76F1" w:rsidRPr="00DE7BA7">
        <w:t xml:space="preserve"> anvende</w:t>
      </w:r>
      <w:r>
        <w:t xml:space="preserve"> </w:t>
      </w:r>
      <w:r w:rsidR="00FD76F1" w:rsidRPr="00DE7BA7">
        <w:t>Matriklens ejendomsregistreringer som grundlag for tinglysning af rettigheder</w:t>
      </w:r>
      <w:r w:rsidR="00FD76F1">
        <w:t xml:space="preserve">. </w:t>
      </w:r>
      <w:r w:rsidR="00FD76F1" w:rsidRPr="004B4D6A">
        <w:t xml:space="preserve">GST og TLR har drøftet en mulig </w:t>
      </w:r>
      <w:r w:rsidR="00FD76F1">
        <w:t xml:space="preserve">effektivisering af </w:t>
      </w:r>
      <w:r w:rsidR="00FD76F1" w:rsidRPr="004B4D6A">
        <w:t xml:space="preserve">den matrikulære proces, </w:t>
      </w:r>
      <w:r w:rsidR="00FD76F1">
        <w:t>hvorved forudgående dommerattest om</w:t>
      </w:r>
      <w:r w:rsidR="00FD76F1" w:rsidRPr="004B4D6A">
        <w:t xml:space="preserve"> adkomst</w:t>
      </w:r>
      <w:r w:rsidR="00FD76F1">
        <w:t xml:space="preserve">- og </w:t>
      </w:r>
      <w:r w:rsidR="00FD76F1" w:rsidRPr="004B4D6A">
        <w:t>pant</w:t>
      </w:r>
      <w:r w:rsidR="00FD76F1">
        <w:t>eforhold kan afskaffes. TLR skal derfor kunne medvirke i den afsluttende fase,</w:t>
      </w:r>
      <w:r w:rsidR="00FD76F1" w:rsidRPr="004B4D6A">
        <w:t xml:space="preserve"> </w:t>
      </w:r>
      <w:r w:rsidR="00FD76F1">
        <w:t xml:space="preserve">umiddelbart </w:t>
      </w:r>
      <w:r w:rsidR="00FD76F1" w:rsidRPr="004B4D6A">
        <w:t xml:space="preserve">før den endelige matrikulære ændring godkendes. </w:t>
      </w:r>
      <w:r w:rsidR="00FD76F1">
        <w:t xml:space="preserve">Herved elimineres risikoen for ændringer i adkomst- og panteforhold i tidsrummet fra landinspektørens modtagelse af dommerattest fra TLR og frem til datoen for den endelige matrikulære forandring. </w:t>
      </w:r>
      <w:r w:rsidR="004105D3">
        <w:t xml:space="preserve"> </w:t>
      </w:r>
    </w:p>
    <w:p w:rsidR="00FD76F1" w:rsidRDefault="00FD76F1" w:rsidP="00FD76F1">
      <w:pPr>
        <w:spacing w:after="0" w:line="240" w:lineRule="auto"/>
      </w:pPr>
    </w:p>
    <w:p w:rsidR="0033528B" w:rsidRPr="00DE7BA7" w:rsidRDefault="0033528B" w:rsidP="00FD76F1">
      <w:pPr>
        <w:spacing w:after="0" w:line="240" w:lineRule="auto"/>
      </w:pPr>
      <w:r>
        <w:t>Det igangværende pilotprojekt for landsdækkende datavask har afdækket et behov for</w:t>
      </w:r>
      <w:r w:rsidR="00CE475F">
        <w:t xml:space="preserve"> afklaring</w:t>
      </w:r>
      <w:r w:rsidR="004105D3">
        <w:t xml:space="preserve"> og præcisering </w:t>
      </w:r>
      <w:r w:rsidRPr="00DE7BA7">
        <w:t>af det aftalte</w:t>
      </w:r>
      <w:r>
        <w:t xml:space="preserve"> på </w:t>
      </w:r>
      <w:r w:rsidR="004105D3">
        <w:t xml:space="preserve">tre </w:t>
      </w:r>
      <w:r w:rsidR="006C522A">
        <w:t>områder</w:t>
      </w:r>
      <w:r w:rsidRPr="00DE7BA7">
        <w:t>:</w:t>
      </w:r>
    </w:p>
    <w:p w:rsidR="0033528B" w:rsidRPr="00DE7BA7" w:rsidRDefault="0033528B" w:rsidP="00366B5F">
      <w:pPr>
        <w:numPr>
          <w:ilvl w:val="0"/>
          <w:numId w:val="23"/>
        </w:numPr>
        <w:spacing w:after="0" w:line="240" w:lineRule="auto"/>
      </w:pPr>
      <w:r>
        <w:t xml:space="preserve">I </w:t>
      </w:r>
      <w:r w:rsidRPr="00395C2A">
        <w:t>første ud</w:t>
      </w:r>
      <w:r>
        <w:t xml:space="preserve">kast til datamigreringsstrategi var det </w:t>
      </w:r>
      <w:r w:rsidRPr="00395C2A">
        <w:t xml:space="preserve">forudsat, at </w:t>
      </w:r>
      <w:r>
        <w:t xml:space="preserve">opretning af data sker iterativt i ESR og i Tingbogen. Formelle regler vedrørende rettighedsregistrering i Tingbogen betyder, at denne forudsætning ikke gælder fuldt ud. Det skal derfor afklares, </w:t>
      </w:r>
      <w:r w:rsidRPr="00395C2A">
        <w:t xml:space="preserve">hvilke </w:t>
      </w:r>
      <w:r>
        <w:t>fejltyper der kan/skal oprettes i</w:t>
      </w:r>
      <w:r w:rsidRPr="00395C2A">
        <w:t xml:space="preserve"> originalregistrene</w:t>
      </w:r>
      <w:r>
        <w:t xml:space="preserve"> og hvilke der kan oprettes efter implementering i matriklen, før det er muligt at færdiggøre en revideret </w:t>
      </w:r>
      <w:r w:rsidRPr="00395C2A">
        <w:t>datamigreringsstrategi.</w:t>
      </w:r>
      <w:r>
        <w:t xml:space="preserve"> </w:t>
      </w:r>
    </w:p>
    <w:p w:rsidR="0033528B" w:rsidRDefault="0033528B" w:rsidP="00366B5F">
      <w:pPr>
        <w:numPr>
          <w:ilvl w:val="0"/>
          <w:numId w:val="23"/>
        </w:numPr>
        <w:spacing w:after="0" w:line="240" w:lineRule="auto"/>
      </w:pPr>
      <w:r>
        <w:t>I forbindelse med i</w:t>
      </w:r>
      <w:r w:rsidRPr="00DE7BA7">
        <w:t>mplementeringen af BFE som ejendomsidentifikation i Tingbogen</w:t>
      </w:r>
      <w:r>
        <w:t xml:space="preserve"> skal det afklares</w:t>
      </w:r>
      <w:r w:rsidRPr="00DE7BA7">
        <w:t xml:space="preserve">, </w:t>
      </w:r>
      <w:r>
        <w:t xml:space="preserve">hvordan sammenhæng mellem </w:t>
      </w:r>
      <w:r w:rsidRPr="00DE7BA7">
        <w:t xml:space="preserve">BFE-nr. for grund og BFE-nr. for </w:t>
      </w:r>
      <w:r>
        <w:t xml:space="preserve">de på grunden værende </w:t>
      </w:r>
      <w:r w:rsidRPr="00DE7BA7">
        <w:t>bygninger på fremmed grund</w:t>
      </w:r>
      <w:r>
        <w:t xml:space="preserve">, kan implementeres. Tilsvarende gælder for sammenhængen mellem moderejendommens BFE-nr.  i ejerlejlighedsfællesskaber </w:t>
      </w:r>
      <w:r w:rsidRPr="00DE7BA7">
        <w:t xml:space="preserve">og </w:t>
      </w:r>
      <w:r>
        <w:t xml:space="preserve">de enkelte </w:t>
      </w:r>
      <w:r w:rsidRPr="00DE7BA7">
        <w:t>ejerlejligheder</w:t>
      </w:r>
      <w:r>
        <w:t>s BFE-nr.</w:t>
      </w:r>
    </w:p>
    <w:p w:rsidR="004105D3" w:rsidRDefault="004105D3" w:rsidP="00366B5F">
      <w:pPr>
        <w:numPr>
          <w:ilvl w:val="0"/>
          <w:numId w:val="23"/>
        </w:numPr>
        <w:spacing w:after="0" w:line="240" w:lineRule="auto"/>
      </w:pPr>
      <w:r w:rsidRPr="00124EFA">
        <w:rPr>
          <w:color w:val="000000"/>
        </w:rPr>
        <w:t>Afklaring af procedurer ved forskelle på</w:t>
      </w:r>
      <w:r w:rsidR="00AE2E20">
        <w:rPr>
          <w:color w:val="000000"/>
        </w:rPr>
        <w:t xml:space="preserve"> ejerlejligheders</w:t>
      </w:r>
      <w:r w:rsidRPr="00124EFA">
        <w:rPr>
          <w:color w:val="000000"/>
        </w:rPr>
        <w:t xml:space="preserve"> fordelingstal mellem ESR og Tingbogen</w:t>
      </w:r>
      <w:r w:rsidR="0002645F">
        <w:rPr>
          <w:color w:val="000000"/>
        </w:rPr>
        <w:t>.</w:t>
      </w:r>
    </w:p>
    <w:p w:rsidR="004105D3" w:rsidRDefault="004105D3" w:rsidP="00366B5F">
      <w:pPr>
        <w:spacing w:after="0" w:line="240" w:lineRule="auto"/>
      </w:pPr>
    </w:p>
    <w:p w:rsidR="0002645F" w:rsidRDefault="004105D3" w:rsidP="00366B5F">
      <w:pPr>
        <w:spacing w:after="0" w:line="240" w:lineRule="auto"/>
        <w:rPr>
          <w:color w:val="000000"/>
        </w:rPr>
      </w:pPr>
      <w:r>
        <w:t>Det er aftalt</w:t>
      </w:r>
      <w:r w:rsidR="0002645F">
        <w:t>,</w:t>
      </w:r>
      <w:r w:rsidR="008F7037">
        <w:t xml:space="preserve"> at </w:t>
      </w:r>
      <w:r>
        <w:t xml:space="preserve">afklaringer i relation til datavask </w:t>
      </w:r>
      <w:r w:rsidR="0002645F">
        <w:t xml:space="preserve">håndteres </w:t>
      </w:r>
      <w:r w:rsidR="00854A85">
        <w:rPr>
          <w:color w:val="000000"/>
        </w:rPr>
        <w:t xml:space="preserve">i forbindelse med udarbejdelse af datavaskstrategien i løbet af maj 2013. </w:t>
      </w:r>
    </w:p>
    <w:p w:rsidR="006C522A" w:rsidRPr="00CE475F" w:rsidRDefault="006C522A" w:rsidP="00366B5F">
      <w:pPr>
        <w:spacing w:after="0" w:line="240" w:lineRule="auto"/>
        <w:rPr>
          <w:b/>
          <w:color w:val="000000"/>
        </w:rPr>
      </w:pPr>
    </w:p>
    <w:p w:rsidR="00F11229" w:rsidRPr="00F11229" w:rsidRDefault="00F11229" w:rsidP="00AD6923">
      <w:pPr>
        <w:pStyle w:val="Almindeligtekst"/>
        <w:rPr>
          <w:rFonts w:asciiTheme="minorHAnsi" w:hAnsiTheme="minorHAnsi"/>
          <w:b/>
          <w:color w:val="000000"/>
          <w:sz w:val="22"/>
          <w:szCs w:val="22"/>
        </w:rPr>
      </w:pPr>
      <w:r w:rsidRPr="00F11229">
        <w:rPr>
          <w:rFonts w:asciiTheme="minorHAnsi" w:hAnsiTheme="minorHAnsi"/>
          <w:b/>
          <w:color w:val="000000"/>
          <w:sz w:val="22"/>
          <w:szCs w:val="22"/>
        </w:rPr>
        <w:t>Økonomi</w:t>
      </w:r>
    </w:p>
    <w:p w:rsidR="003C1D65" w:rsidRDefault="003C1D65" w:rsidP="00AD6923">
      <w:pPr>
        <w:pStyle w:val="Almindeligtekst"/>
        <w:rPr>
          <w:rFonts w:asciiTheme="minorHAnsi" w:hAnsiTheme="minorHAnsi"/>
          <w:color w:val="000000"/>
          <w:sz w:val="22"/>
          <w:szCs w:val="22"/>
        </w:rPr>
      </w:pPr>
      <w:r>
        <w:rPr>
          <w:rFonts w:asciiTheme="minorHAnsi" w:hAnsiTheme="minorHAnsi"/>
          <w:color w:val="000000"/>
          <w:sz w:val="22"/>
          <w:szCs w:val="22"/>
        </w:rPr>
        <w:lastRenderedPageBreak/>
        <w:t>Den økonomiske virkning af opgaveflytningen fremgår af</w:t>
      </w:r>
      <w:r w:rsidR="007444B4">
        <w:rPr>
          <w:rFonts w:asciiTheme="minorHAnsi" w:hAnsiTheme="minorHAnsi"/>
          <w:color w:val="000000"/>
          <w:sz w:val="22"/>
          <w:szCs w:val="22"/>
        </w:rPr>
        <w:t xml:space="preserve"> excel-regnearket i</w:t>
      </w:r>
      <w:r>
        <w:rPr>
          <w:rFonts w:asciiTheme="minorHAnsi" w:hAnsiTheme="minorHAnsi"/>
          <w:color w:val="000000"/>
          <w:sz w:val="22"/>
          <w:szCs w:val="22"/>
        </w:rPr>
        <w:t xml:space="preserve"> bilag 1.</w:t>
      </w:r>
    </w:p>
    <w:p w:rsidR="00F13462" w:rsidRDefault="00CA46D6" w:rsidP="00AD6923">
      <w:pPr>
        <w:pStyle w:val="Almindeligtekst"/>
        <w:rPr>
          <w:rFonts w:asciiTheme="minorHAnsi" w:hAnsiTheme="minorHAnsi"/>
          <w:color w:val="000000"/>
          <w:sz w:val="22"/>
          <w:szCs w:val="22"/>
        </w:rPr>
      </w:pPr>
      <w:r>
        <w:rPr>
          <w:rFonts w:asciiTheme="minorHAnsi" w:hAnsiTheme="minorHAnsi"/>
          <w:color w:val="000000"/>
          <w:sz w:val="22"/>
          <w:szCs w:val="22"/>
        </w:rPr>
        <w:t xml:space="preserve">Budgettet for </w:t>
      </w:r>
      <w:r w:rsidR="00ED4D90">
        <w:rPr>
          <w:rFonts w:asciiTheme="minorHAnsi" w:hAnsiTheme="minorHAnsi"/>
          <w:color w:val="000000"/>
          <w:sz w:val="22"/>
          <w:szCs w:val="22"/>
        </w:rPr>
        <w:t>DMST/</w:t>
      </w:r>
      <w:r>
        <w:rPr>
          <w:rFonts w:asciiTheme="minorHAnsi" w:hAnsiTheme="minorHAnsi"/>
          <w:color w:val="000000"/>
          <w:sz w:val="22"/>
          <w:szCs w:val="22"/>
        </w:rPr>
        <w:t>TLR</w:t>
      </w:r>
      <w:r w:rsidR="00FC4A53">
        <w:rPr>
          <w:rFonts w:asciiTheme="minorHAnsi" w:hAnsiTheme="minorHAnsi"/>
          <w:color w:val="000000"/>
          <w:sz w:val="22"/>
          <w:szCs w:val="22"/>
        </w:rPr>
        <w:t>´s</w:t>
      </w:r>
      <w:r>
        <w:rPr>
          <w:rFonts w:asciiTheme="minorHAnsi" w:hAnsiTheme="minorHAnsi"/>
          <w:color w:val="000000"/>
          <w:sz w:val="22"/>
          <w:szCs w:val="22"/>
        </w:rPr>
        <w:t xml:space="preserve"> </w:t>
      </w:r>
      <w:r w:rsidR="004D3EF3">
        <w:rPr>
          <w:rFonts w:asciiTheme="minorHAnsi" w:hAnsiTheme="minorHAnsi"/>
          <w:color w:val="000000"/>
          <w:sz w:val="22"/>
          <w:szCs w:val="22"/>
        </w:rPr>
        <w:t xml:space="preserve">aktuelle </w:t>
      </w:r>
      <w:r>
        <w:rPr>
          <w:rFonts w:asciiTheme="minorHAnsi" w:hAnsiTheme="minorHAnsi"/>
          <w:color w:val="000000"/>
          <w:sz w:val="22"/>
          <w:szCs w:val="22"/>
        </w:rPr>
        <w:t xml:space="preserve">medvirken i GD1 er vist i </w:t>
      </w:r>
      <w:r w:rsidR="00ED4D90">
        <w:rPr>
          <w:rFonts w:asciiTheme="minorHAnsi" w:hAnsiTheme="minorHAnsi"/>
          <w:color w:val="000000"/>
          <w:sz w:val="22"/>
          <w:szCs w:val="22"/>
        </w:rPr>
        <w:t>ark 1</w:t>
      </w:r>
      <w:r w:rsidR="00BD2B78">
        <w:rPr>
          <w:rFonts w:asciiTheme="minorHAnsi" w:hAnsiTheme="minorHAnsi"/>
          <w:color w:val="000000"/>
          <w:sz w:val="22"/>
          <w:szCs w:val="22"/>
        </w:rPr>
        <w:t>,</w:t>
      </w:r>
      <w:r>
        <w:rPr>
          <w:rFonts w:asciiTheme="minorHAnsi" w:hAnsiTheme="minorHAnsi"/>
          <w:color w:val="000000"/>
          <w:sz w:val="22"/>
          <w:szCs w:val="22"/>
        </w:rPr>
        <w:t xml:space="preserve"> som det fremgår af FL13</w:t>
      </w:r>
      <w:r w:rsidR="003C1D65">
        <w:rPr>
          <w:rFonts w:asciiTheme="minorHAnsi" w:hAnsiTheme="minorHAnsi"/>
          <w:color w:val="000000"/>
          <w:sz w:val="22"/>
          <w:szCs w:val="22"/>
        </w:rPr>
        <w:t xml:space="preserve">. I </w:t>
      </w:r>
      <w:r w:rsidR="00ED4D90">
        <w:rPr>
          <w:rFonts w:asciiTheme="minorHAnsi" w:hAnsiTheme="minorHAnsi"/>
          <w:color w:val="000000"/>
          <w:sz w:val="22"/>
          <w:szCs w:val="22"/>
        </w:rPr>
        <w:t>ark 2</w:t>
      </w:r>
      <w:r w:rsidR="003C1D65">
        <w:rPr>
          <w:rFonts w:asciiTheme="minorHAnsi" w:hAnsiTheme="minorHAnsi"/>
          <w:color w:val="000000"/>
          <w:sz w:val="22"/>
          <w:szCs w:val="22"/>
        </w:rPr>
        <w:t xml:space="preserve"> er den økonomiske virkning</w:t>
      </w:r>
      <w:r w:rsidR="00ED4D90">
        <w:rPr>
          <w:rFonts w:asciiTheme="minorHAnsi" w:hAnsiTheme="minorHAnsi"/>
          <w:color w:val="000000"/>
          <w:sz w:val="22"/>
          <w:szCs w:val="22"/>
        </w:rPr>
        <w:t xml:space="preserve"> for DMST/TLR og MBBL. </w:t>
      </w:r>
    </w:p>
    <w:p w:rsidR="004D3EF3" w:rsidRPr="00366B5F" w:rsidRDefault="004D3EF3" w:rsidP="00AD6923">
      <w:pPr>
        <w:pStyle w:val="Almindeligtekst"/>
        <w:rPr>
          <w:rFonts w:asciiTheme="minorHAnsi" w:hAnsiTheme="minorHAnsi"/>
          <w:b/>
          <w:color w:val="000000"/>
          <w:sz w:val="22"/>
          <w:szCs w:val="22"/>
        </w:rPr>
      </w:pPr>
    </w:p>
    <w:p w:rsidR="004D3EF3" w:rsidRDefault="004D3EF3" w:rsidP="00AD6923">
      <w:pPr>
        <w:pStyle w:val="Almindeligtekst"/>
        <w:rPr>
          <w:rFonts w:asciiTheme="minorHAnsi" w:hAnsiTheme="minorHAnsi"/>
          <w:color w:val="000000"/>
          <w:sz w:val="22"/>
          <w:szCs w:val="22"/>
        </w:rPr>
      </w:pPr>
      <w:r>
        <w:rPr>
          <w:rFonts w:asciiTheme="minorHAnsi" w:hAnsiTheme="minorHAnsi"/>
          <w:color w:val="000000"/>
          <w:sz w:val="22"/>
          <w:szCs w:val="22"/>
        </w:rPr>
        <w:t xml:space="preserve">Den samlede økonomiske virkning af flytningen af opgaver fra </w:t>
      </w:r>
      <w:r w:rsidR="0002645F">
        <w:rPr>
          <w:rFonts w:asciiTheme="minorHAnsi" w:hAnsiTheme="minorHAnsi"/>
          <w:color w:val="000000"/>
          <w:sz w:val="22"/>
          <w:szCs w:val="22"/>
        </w:rPr>
        <w:t>JM/</w:t>
      </w:r>
      <w:r w:rsidR="008F7037">
        <w:rPr>
          <w:rFonts w:asciiTheme="minorHAnsi" w:hAnsiTheme="minorHAnsi"/>
          <w:color w:val="000000"/>
          <w:sz w:val="22"/>
          <w:szCs w:val="22"/>
        </w:rPr>
        <w:t>DMST/</w:t>
      </w:r>
      <w:r>
        <w:rPr>
          <w:rFonts w:asciiTheme="minorHAnsi" w:hAnsiTheme="minorHAnsi"/>
          <w:color w:val="000000"/>
          <w:sz w:val="22"/>
          <w:szCs w:val="22"/>
        </w:rPr>
        <w:t>TLR til MBBL svarer til 1,1 mio. kr. i 2013, 2,5 mio.kr. i 2014 og 2,</w:t>
      </w:r>
      <w:r w:rsidR="00A900DC">
        <w:rPr>
          <w:rFonts w:asciiTheme="minorHAnsi" w:hAnsiTheme="minorHAnsi"/>
          <w:color w:val="000000"/>
          <w:sz w:val="22"/>
          <w:szCs w:val="22"/>
        </w:rPr>
        <w:t>4</w:t>
      </w:r>
      <w:r>
        <w:rPr>
          <w:rFonts w:asciiTheme="minorHAnsi" w:hAnsiTheme="minorHAnsi"/>
          <w:color w:val="000000"/>
          <w:sz w:val="22"/>
          <w:szCs w:val="22"/>
        </w:rPr>
        <w:t xml:space="preserve"> mio.kr. i 2015 samt 0,4 mio.kr. pr. år fra 2016 o</w:t>
      </w:r>
      <w:r w:rsidR="008F7037">
        <w:rPr>
          <w:rFonts w:asciiTheme="minorHAnsi" w:hAnsiTheme="minorHAnsi"/>
          <w:color w:val="000000"/>
          <w:sz w:val="22"/>
          <w:szCs w:val="22"/>
        </w:rPr>
        <w:t>g</w:t>
      </w:r>
      <w:r>
        <w:rPr>
          <w:rFonts w:asciiTheme="minorHAnsi" w:hAnsiTheme="minorHAnsi"/>
          <w:color w:val="000000"/>
          <w:sz w:val="22"/>
          <w:szCs w:val="22"/>
        </w:rPr>
        <w:t xml:space="preserve"> frem.</w:t>
      </w:r>
      <w:r w:rsidR="00ED4D90">
        <w:rPr>
          <w:rFonts w:asciiTheme="minorHAnsi" w:hAnsiTheme="minorHAnsi"/>
          <w:color w:val="000000"/>
          <w:sz w:val="22"/>
          <w:szCs w:val="22"/>
        </w:rPr>
        <w:t xml:space="preserve"> </w:t>
      </w:r>
      <w:r>
        <w:rPr>
          <w:rFonts w:asciiTheme="minorHAnsi" w:hAnsiTheme="minorHAnsi"/>
          <w:color w:val="000000"/>
          <w:sz w:val="22"/>
          <w:szCs w:val="22"/>
        </w:rPr>
        <w:t xml:space="preserve"> </w:t>
      </w:r>
    </w:p>
    <w:p w:rsidR="00FE47D4" w:rsidRDefault="00FE47D4" w:rsidP="00AD6923">
      <w:pPr>
        <w:pStyle w:val="Almindeligtekst"/>
        <w:rPr>
          <w:rFonts w:asciiTheme="minorHAnsi" w:hAnsiTheme="minorHAnsi"/>
          <w:color w:val="000000"/>
          <w:sz w:val="22"/>
          <w:szCs w:val="22"/>
        </w:rPr>
      </w:pPr>
      <w:r>
        <w:rPr>
          <w:rFonts w:asciiTheme="minorHAnsi" w:hAnsiTheme="minorHAnsi"/>
          <w:color w:val="000000"/>
          <w:sz w:val="22"/>
          <w:szCs w:val="22"/>
        </w:rPr>
        <w:t xml:space="preserve"> </w:t>
      </w:r>
    </w:p>
    <w:p w:rsidR="00ED4D90" w:rsidRDefault="00CA46D6" w:rsidP="00AD6923">
      <w:pPr>
        <w:pStyle w:val="Almindeligtekst"/>
        <w:rPr>
          <w:rFonts w:asciiTheme="minorHAnsi" w:hAnsiTheme="minorHAnsi"/>
          <w:color w:val="000000"/>
          <w:sz w:val="22"/>
          <w:szCs w:val="22"/>
        </w:rPr>
      </w:pPr>
      <w:r>
        <w:rPr>
          <w:rFonts w:asciiTheme="minorHAnsi" w:hAnsiTheme="minorHAnsi"/>
          <w:color w:val="000000"/>
          <w:sz w:val="22"/>
          <w:szCs w:val="22"/>
        </w:rPr>
        <w:t xml:space="preserve">Det er </w:t>
      </w:r>
      <w:r w:rsidR="00ED4D90">
        <w:rPr>
          <w:rFonts w:asciiTheme="minorHAnsi" w:hAnsiTheme="minorHAnsi"/>
          <w:color w:val="000000"/>
          <w:sz w:val="22"/>
          <w:szCs w:val="22"/>
        </w:rPr>
        <w:t xml:space="preserve">følgende </w:t>
      </w:r>
      <w:r>
        <w:rPr>
          <w:rFonts w:asciiTheme="minorHAnsi" w:hAnsiTheme="minorHAnsi"/>
          <w:color w:val="000000"/>
          <w:sz w:val="22"/>
          <w:szCs w:val="22"/>
        </w:rPr>
        <w:t>b</w:t>
      </w:r>
      <w:r w:rsidR="00BF3356">
        <w:rPr>
          <w:rFonts w:asciiTheme="minorHAnsi" w:hAnsiTheme="minorHAnsi"/>
          <w:color w:val="000000"/>
          <w:sz w:val="22"/>
          <w:szCs w:val="22"/>
        </w:rPr>
        <w:t>udgetposter</w:t>
      </w:r>
      <w:r w:rsidR="00ED4D90">
        <w:rPr>
          <w:rFonts w:asciiTheme="minorHAnsi" w:hAnsiTheme="minorHAnsi"/>
          <w:color w:val="000000"/>
          <w:sz w:val="22"/>
          <w:szCs w:val="22"/>
        </w:rPr>
        <w:t xml:space="preserve"> som flyttes fra </w:t>
      </w:r>
      <w:r w:rsidR="008F7037">
        <w:rPr>
          <w:rFonts w:asciiTheme="minorHAnsi" w:hAnsiTheme="minorHAnsi"/>
          <w:color w:val="000000"/>
          <w:sz w:val="22"/>
          <w:szCs w:val="22"/>
        </w:rPr>
        <w:t>JM/</w:t>
      </w:r>
      <w:r w:rsidR="00ED4D90">
        <w:rPr>
          <w:rFonts w:asciiTheme="minorHAnsi" w:hAnsiTheme="minorHAnsi"/>
          <w:color w:val="000000"/>
          <w:sz w:val="22"/>
          <w:szCs w:val="22"/>
        </w:rPr>
        <w:t>DMST/TLR til MBBL:</w:t>
      </w:r>
    </w:p>
    <w:p w:rsidR="00ED4D90" w:rsidRDefault="00CA46D6" w:rsidP="0011270E">
      <w:pPr>
        <w:pStyle w:val="Almindeligtekst"/>
        <w:numPr>
          <w:ilvl w:val="0"/>
          <w:numId w:val="22"/>
        </w:numPr>
        <w:rPr>
          <w:rFonts w:asciiTheme="minorHAnsi" w:hAnsiTheme="minorHAnsi"/>
          <w:color w:val="000000"/>
          <w:sz w:val="22"/>
          <w:szCs w:val="22"/>
        </w:rPr>
      </w:pPr>
      <w:r>
        <w:rPr>
          <w:rFonts w:asciiTheme="minorHAnsi" w:hAnsiTheme="minorHAnsi"/>
          <w:color w:val="000000"/>
          <w:sz w:val="22"/>
          <w:szCs w:val="22"/>
        </w:rPr>
        <w:t>”</w:t>
      </w:r>
      <w:r w:rsidR="00ED4D90">
        <w:rPr>
          <w:rFonts w:asciiTheme="minorHAnsi" w:hAnsiTheme="minorHAnsi"/>
          <w:color w:val="000000"/>
          <w:sz w:val="22"/>
          <w:szCs w:val="22"/>
        </w:rPr>
        <w:t>L</w:t>
      </w:r>
      <w:r>
        <w:rPr>
          <w:rFonts w:asciiTheme="minorHAnsi" w:hAnsiTheme="minorHAnsi"/>
          <w:color w:val="000000"/>
          <w:sz w:val="22"/>
          <w:szCs w:val="22"/>
        </w:rPr>
        <w:t xml:space="preserve">øn til projektledelse” </w:t>
      </w:r>
      <w:r w:rsidR="00FD71E9">
        <w:rPr>
          <w:rFonts w:asciiTheme="minorHAnsi" w:hAnsiTheme="minorHAnsi"/>
          <w:color w:val="000000"/>
          <w:sz w:val="22"/>
          <w:szCs w:val="22"/>
        </w:rPr>
        <w:t>(forretningsprojektleder)</w:t>
      </w:r>
      <w:r w:rsidR="00ED4D90" w:rsidRPr="00ED4D90">
        <w:rPr>
          <w:rFonts w:asciiTheme="minorHAnsi" w:hAnsiTheme="minorHAnsi"/>
          <w:color w:val="000000"/>
          <w:sz w:val="22"/>
          <w:szCs w:val="22"/>
        </w:rPr>
        <w:t xml:space="preserve"> </w:t>
      </w:r>
      <w:r w:rsidR="00ED4D90">
        <w:rPr>
          <w:rFonts w:asciiTheme="minorHAnsi" w:hAnsiTheme="minorHAnsi"/>
          <w:color w:val="000000"/>
          <w:sz w:val="22"/>
          <w:szCs w:val="22"/>
        </w:rPr>
        <w:t>svarende til 0,8 mio. kr. pr. år i 2013, 2014 og 2015. MBBL vil anvende projektledelsesmidlerne til aflønning af medarbejdere.</w:t>
      </w:r>
    </w:p>
    <w:p w:rsidR="00ED4D90" w:rsidRDefault="00CA46D6" w:rsidP="0011270E">
      <w:pPr>
        <w:pStyle w:val="Almindeligtekst"/>
        <w:numPr>
          <w:ilvl w:val="0"/>
          <w:numId w:val="22"/>
        </w:numPr>
        <w:rPr>
          <w:rFonts w:asciiTheme="minorHAnsi" w:hAnsiTheme="minorHAnsi"/>
          <w:color w:val="000000"/>
          <w:sz w:val="22"/>
          <w:szCs w:val="22"/>
        </w:rPr>
      </w:pPr>
      <w:r>
        <w:rPr>
          <w:rFonts w:asciiTheme="minorHAnsi" w:hAnsiTheme="minorHAnsi"/>
          <w:color w:val="000000"/>
          <w:sz w:val="22"/>
          <w:szCs w:val="22"/>
        </w:rPr>
        <w:t xml:space="preserve"> ”</w:t>
      </w:r>
      <w:r w:rsidR="00ED4D90">
        <w:rPr>
          <w:rFonts w:asciiTheme="minorHAnsi" w:hAnsiTheme="minorHAnsi"/>
          <w:color w:val="000000"/>
          <w:sz w:val="22"/>
          <w:szCs w:val="22"/>
        </w:rPr>
        <w:t>T</w:t>
      </w:r>
      <w:r>
        <w:rPr>
          <w:rFonts w:asciiTheme="minorHAnsi" w:hAnsiTheme="minorHAnsi"/>
          <w:color w:val="000000"/>
          <w:sz w:val="22"/>
          <w:szCs w:val="22"/>
        </w:rPr>
        <w:t>jenesteydelser specificering og gennemførelse”</w:t>
      </w:r>
      <w:r w:rsidR="0038537B">
        <w:rPr>
          <w:rFonts w:asciiTheme="minorHAnsi" w:hAnsiTheme="minorHAnsi"/>
          <w:color w:val="000000"/>
          <w:sz w:val="22"/>
          <w:szCs w:val="22"/>
        </w:rPr>
        <w:t xml:space="preserve"> (projektomkostninger)</w:t>
      </w:r>
      <w:r w:rsidR="00ED4D90" w:rsidRPr="00ED4D90">
        <w:rPr>
          <w:rFonts w:asciiTheme="minorHAnsi" w:hAnsiTheme="minorHAnsi"/>
          <w:color w:val="000000"/>
          <w:sz w:val="22"/>
          <w:szCs w:val="22"/>
        </w:rPr>
        <w:t xml:space="preserve"> </w:t>
      </w:r>
      <w:r w:rsidR="00ED4D90">
        <w:rPr>
          <w:rFonts w:asciiTheme="minorHAnsi" w:hAnsiTheme="minorHAnsi"/>
          <w:color w:val="000000"/>
          <w:sz w:val="22"/>
          <w:szCs w:val="22"/>
        </w:rPr>
        <w:t>svarende til 0,3 mio. kr. i 2013, 1,2 mio.kr. i 2014 og 1,2 mio.kr. i 2015.</w:t>
      </w:r>
      <w:r w:rsidR="00F7267E">
        <w:rPr>
          <w:rFonts w:asciiTheme="minorHAnsi" w:hAnsiTheme="minorHAnsi"/>
          <w:color w:val="000000"/>
          <w:sz w:val="22"/>
          <w:szCs w:val="22"/>
        </w:rPr>
        <w:t xml:space="preserve"> </w:t>
      </w:r>
      <w:r w:rsidR="0038537B">
        <w:rPr>
          <w:rFonts w:asciiTheme="minorHAnsi" w:hAnsiTheme="minorHAnsi"/>
          <w:color w:val="000000"/>
          <w:sz w:val="22"/>
          <w:szCs w:val="22"/>
        </w:rPr>
        <w:t xml:space="preserve">Projektomkostningerne anvendes til </w:t>
      </w:r>
      <w:r w:rsidR="00F7267E">
        <w:rPr>
          <w:rFonts w:asciiTheme="minorHAnsi" w:hAnsiTheme="minorHAnsi"/>
          <w:color w:val="000000"/>
          <w:sz w:val="22"/>
          <w:szCs w:val="22"/>
        </w:rPr>
        <w:t>indkøb af konsulentydelser til udarbejdelse af teknisk projektdokumentation og andre dokumenter i forbindelse med forelæggelse for Statens IT-projektråd</w:t>
      </w:r>
      <w:r w:rsidR="0038537B">
        <w:rPr>
          <w:rFonts w:asciiTheme="minorHAnsi" w:hAnsiTheme="minorHAnsi"/>
          <w:color w:val="000000"/>
          <w:sz w:val="22"/>
          <w:szCs w:val="22"/>
        </w:rPr>
        <w:t xml:space="preserve">, </w:t>
      </w:r>
      <w:r w:rsidR="00A80EC9">
        <w:rPr>
          <w:rFonts w:asciiTheme="minorHAnsi" w:hAnsiTheme="minorHAnsi"/>
          <w:color w:val="000000"/>
          <w:sz w:val="22"/>
          <w:szCs w:val="22"/>
        </w:rPr>
        <w:t xml:space="preserve">udarbejdelse af krav til </w:t>
      </w:r>
      <w:r w:rsidR="00F7267E">
        <w:rPr>
          <w:rFonts w:asciiTheme="minorHAnsi" w:hAnsiTheme="minorHAnsi"/>
          <w:color w:val="000000"/>
          <w:sz w:val="22"/>
          <w:szCs w:val="22"/>
        </w:rPr>
        <w:t>Ejerfortegnelsen</w:t>
      </w:r>
      <w:r w:rsidR="0038537B">
        <w:rPr>
          <w:rFonts w:asciiTheme="minorHAnsi" w:hAnsiTheme="minorHAnsi"/>
          <w:color w:val="000000"/>
          <w:sz w:val="22"/>
          <w:szCs w:val="22"/>
        </w:rPr>
        <w:t xml:space="preserve"> samt anden teknisk projektledelse</w:t>
      </w:r>
      <w:r w:rsidR="00F7267E">
        <w:rPr>
          <w:rFonts w:asciiTheme="minorHAnsi" w:hAnsiTheme="minorHAnsi"/>
          <w:color w:val="000000"/>
          <w:sz w:val="22"/>
          <w:szCs w:val="22"/>
        </w:rPr>
        <w:t>.</w:t>
      </w:r>
      <w:r w:rsidR="00FE47D4">
        <w:rPr>
          <w:rFonts w:asciiTheme="minorHAnsi" w:hAnsiTheme="minorHAnsi"/>
          <w:color w:val="000000"/>
          <w:sz w:val="22"/>
          <w:szCs w:val="22"/>
        </w:rPr>
        <w:t xml:space="preserve"> </w:t>
      </w:r>
    </w:p>
    <w:p w:rsidR="00ED4D90" w:rsidRDefault="00A80EC9" w:rsidP="0011270E">
      <w:pPr>
        <w:pStyle w:val="Almindeligtekst"/>
        <w:numPr>
          <w:ilvl w:val="0"/>
          <w:numId w:val="22"/>
        </w:numPr>
        <w:rPr>
          <w:rFonts w:asciiTheme="minorHAnsi" w:hAnsiTheme="minorHAnsi"/>
          <w:color w:val="000000"/>
          <w:sz w:val="22"/>
          <w:szCs w:val="22"/>
        </w:rPr>
      </w:pPr>
      <w:r>
        <w:rPr>
          <w:rFonts w:asciiTheme="minorHAnsi" w:hAnsiTheme="minorHAnsi"/>
          <w:color w:val="000000"/>
          <w:sz w:val="22"/>
          <w:szCs w:val="22"/>
        </w:rPr>
        <w:t>”Udarbejdelse af krav til</w:t>
      </w:r>
      <w:r w:rsidR="0038537B">
        <w:rPr>
          <w:rFonts w:asciiTheme="minorHAnsi" w:hAnsiTheme="minorHAnsi"/>
          <w:color w:val="000000"/>
          <w:sz w:val="22"/>
          <w:szCs w:val="22"/>
        </w:rPr>
        <w:t xml:space="preserve"> Ejerfortegnelsen</w:t>
      </w:r>
      <w:r w:rsidR="00ED4D90">
        <w:rPr>
          <w:rFonts w:asciiTheme="minorHAnsi" w:hAnsiTheme="minorHAnsi"/>
          <w:color w:val="000000"/>
          <w:sz w:val="22"/>
          <w:szCs w:val="22"/>
        </w:rPr>
        <w:t>” svarende til 0,5 mio. kr. i 2014.</w:t>
      </w:r>
      <w:r w:rsidR="003965C5">
        <w:rPr>
          <w:rFonts w:asciiTheme="minorHAnsi" w:hAnsiTheme="minorHAnsi"/>
          <w:color w:val="000000"/>
          <w:sz w:val="22"/>
          <w:szCs w:val="22"/>
        </w:rPr>
        <w:t xml:space="preserve"> </w:t>
      </w:r>
    </w:p>
    <w:p w:rsidR="00BF3356" w:rsidRDefault="00FE47D4" w:rsidP="0011270E">
      <w:pPr>
        <w:pStyle w:val="Almindeligtekst"/>
        <w:numPr>
          <w:ilvl w:val="0"/>
          <w:numId w:val="22"/>
        </w:numPr>
        <w:rPr>
          <w:rFonts w:asciiTheme="minorHAnsi" w:hAnsiTheme="minorHAnsi"/>
          <w:color w:val="000000"/>
          <w:sz w:val="22"/>
          <w:szCs w:val="22"/>
        </w:rPr>
      </w:pPr>
      <w:r>
        <w:rPr>
          <w:rFonts w:asciiTheme="minorHAnsi" w:hAnsiTheme="minorHAnsi"/>
          <w:color w:val="000000"/>
          <w:sz w:val="22"/>
          <w:szCs w:val="22"/>
        </w:rPr>
        <w:t>Desuden flyttes der fra TLR’s løbende drift 0,4 mio. kr. fra 2016 og frem til MBBL, som vil anvende disse midler at</w:t>
      </w:r>
      <w:r w:rsidR="00390038">
        <w:rPr>
          <w:rFonts w:asciiTheme="minorHAnsi" w:hAnsiTheme="minorHAnsi"/>
          <w:color w:val="000000"/>
          <w:sz w:val="22"/>
          <w:szCs w:val="22"/>
        </w:rPr>
        <w:t xml:space="preserve"> udøve change-management, dvs.</w:t>
      </w:r>
      <w:r>
        <w:rPr>
          <w:rFonts w:asciiTheme="minorHAnsi" w:hAnsiTheme="minorHAnsi"/>
          <w:color w:val="000000"/>
          <w:sz w:val="22"/>
          <w:szCs w:val="22"/>
        </w:rPr>
        <w:t xml:space="preserve"> </w:t>
      </w:r>
      <w:r w:rsidR="00390038">
        <w:rPr>
          <w:rFonts w:asciiTheme="minorHAnsi" w:hAnsiTheme="minorHAnsi"/>
          <w:color w:val="000000"/>
          <w:sz w:val="22"/>
          <w:szCs w:val="22"/>
        </w:rPr>
        <w:t xml:space="preserve">indsamle, koordinere og formidle forretningskrav i relation til </w:t>
      </w:r>
      <w:r>
        <w:rPr>
          <w:rFonts w:asciiTheme="minorHAnsi" w:hAnsiTheme="minorHAnsi"/>
          <w:color w:val="000000"/>
          <w:sz w:val="22"/>
          <w:szCs w:val="22"/>
        </w:rPr>
        <w:t>Ejerfortegnelsen.</w:t>
      </w:r>
    </w:p>
    <w:p w:rsidR="00BF3356" w:rsidRDefault="00BF3356" w:rsidP="00AD6923">
      <w:pPr>
        <w:pStyle w:val="Almindeligtekst"/>
        <w:rPr>
          <w:rFonts w:asciiTheme="minorHAnsi" w:hAnsiTheme="minorHAnsi"/>
          <w:color w:val="000000"/>
          <w:sz w:val="22"/>
          <w:szCs w:val="22"/>
        </w:rPr>
      </w:pPr>
    </w:p>
    <w:p w:rsidR="007444B4" w:rsidRDefault="007444B4" w:rsidP="007444B4">
      <w:pPr>
        <w:pStyle w:val="Almindeligtekst"/>
        <w:rPr>
          <w:rFonts w:asciiTheme="minorHAnsi" w:hAnsiTheme="minorHAnsi"/>
          <w:color w:val="000000"/>
          <w:sz w:val="22"/>
          <w:szCs w:val="22"/>
        </w:rPr>
      </w:pPr>
      <w:r>
        <w:rPr>
          <w:rFonts w:asciiTheme="minorHAnsi" w:hAnsiTheme="minorHAnsi"/>
          <w:color w:val="000000"/>
          <w:sz w:val="22"/>
          <w:szCs w:val="22"/>
        </w:rPr>
        <w:t xml:space="preserve">JM/DMST/TLR og MBBL og godkender med denne aftale ovenstående budgetflytninger med opbakning fra Digitaliseringsstyrelsen. Selve processen for hvordan de budgetmæssige overflytninger vil blive gennemført håndteres særskilt og forventes indarbejdet i FFL14. </w:t>
      </w:r>
    </w:p>
    <w:p w:rsidR="004D3EF3" w:rsidRDefault="004D3EF3" w:rsidP="00AD6923">
      <w:pPr>
        <w:pStyle w:val="Almindeligtekst"/>
        <w:rPr>
          <w:rFonts w:asciiTheme="minorHAnsi" w:hAnsiTheme="minorHAnsi"/>
          <w:color w:val="000000"/>
          <w:sz w:val="22"/>
          <w:szCs w:val="22"/>
        </w:rPr>
      </w:pPr>
      <w:r>
        <w:rPr>
          <w:rFonts w:asciiTheme="minorHAnsi" w:hAnsiTheme="minorHAnsi"/>
          <w:color w:val="000000"/>
          <w:sz w:val="22"/>
          <w:szCs w:val="22"/>
        </w:rPr>
        <w:t>Der vil ske periodeforskydninger i forhold til ovenstående budgetangivelser, som dog endnu ikke er fastlagt.</w:t>
      </w:r>
    </w:p>
    <w:p w:rsidR="004D3EF3" w:rsidRDefault="004D3EF3" w:rsidP="00AD6923">
      <w:pPr>
        <w:pStyle w:val="Almindeligtekst"/>
        <w:rPr>
          <w:rFonts w:asciiTheme="minorHAnsi" w:hAnsiTheme="minorHAnsi"/>
          <w:color w:val="000000"/>
          <w:sz w:val="22"/>
          <w:szCs w:val="22"/>
        </w:rPr>
      </w:pPr>
    </w:p>
    <w:p w:rsidR="003E62A4" w:rsidRDefault="008F7037" w:rsidP="00AD6923">
      <w:pPr>
        <w:pStyle w:val="Almindeligtekst"/>
        <w:rPr>
          <w:rFonts w:asciiTheme="minorHAnsi" w:hAnsiTheme="minorHAnsi"/>
          <w:b/>
          <w:color w:val="000000"/>
          <w:sz w:val="22"/>
          <w:szCs w:val="22"/>
        </w:rPr>
      </w:pPr>
      <w:r>
        <w:rPr>
          <w:rFonts w:asciiTheme="minorHAnsi" w:hAnsiTheme="minorHAnsi"/>
          <w:b/>
          <w:color w:val="000000"/>
          <w:sz w:val="22"/>
          <w:szCs w:val="22"/>
        </w:rPr>
        <w:t>GD1’s s</w:t>
      </w:r>
      <w:r w:rsidR="003E62A4" w:rsidRPr="003E62A4">
        <w:rPr>
          <w:rFonts w:asciiTheme="minorHAnsi" w:hAnsiTheme="minorHAnsi"/>
          <w:b/>
          <w:color w:val="000000"/>
          <w:sz w:val="22"/>
          <w:szCs w:val="22"/>
        </w:rPr>
        <w:t>amarbejd</w:t>
      </w:r>
      <w:r>
        <w:rPr>
          <w:rFonts w:asciiTheme="minorHAnsi" w:hAnsiTheme="minorHAnsi"/>
          <w:b/>
          <w:color w:val="000000"/>
          <w:sz w:val="22"/>
          <w:szCs w:val="22"/>
        </w:rPr>
        <w:t>e med TLR</w:t>
      </w:r>
    </w:p>
    <w:p w:rsidR="00463788" w:rsidRDefault="008F7037" w:rsidP="00A01489">
      <w:pPr>
        <w:spacing w:after="0" w:line="240" w:lineRule="auto"/>
        <w:rPr>
          <w:color w:val="000000"/>
        </w:rPr>
      </w:pPr>
      <w:r>
        <w:rPr>
          <w:color w:val="000000"/>
        </w:rPr>
        <w:t xml:space="preserve">Der er enighed om at samarbejdet mellem GD1 og TLR tager udgangspunkt i </w:t>
      </w:r>
      <w:r w:rsidR="00A01489">
        <w:rPr>
          <w:color w:val="000000"/>
        </w:rPr>
        <w:t>Grunddataprogrammets delaftale 1 og programstyringsdokumentet. De faglige og systemmæssige udgangspunkter for samarbejdet er fastholdt i den målarkitektur og fælles implementeringsplan, som er tiltrådt af programstyregruppen den 25. april 2013.</w:t>
      </w:r>
      <w:r w:rsidR="00B26A74">
        <w:rPr>
          <w:color w:val="000000"/>
        </w:rPr>
        <w:t xml:space="preserve"> Udredningen om </w:t>
      </w:r>
      <w:r w:rsidR="00463788">
        <w:rPr>
          <w:color w:val="000000"/>
        </w:rPr>
        <w:t>Ejerfortegnelsen</w:t>
      </w:r>
      <w:r w:rsidR="00463788">
        <w:rPr>
          <w:rStyle w:val="Fodnotehenvisning"/>
          <w:color w:val="000000"/>
        </w:rPr>
        <w:footnoteReference w:id="2"/>
      </w:r>
      <w:r w:rsidR="00463788">
        <w:rPr>
          <w:color w:val="000000"/>
        </w:rPr>
        <w:t xml:space="preserve"> fastlægger de overordnede faglige, forvaltningsmæssige og systemmæssige krav til Ejerfortegnelsen.</w:t>
      </w:r>
    </w:p>
    <w:p w:rsidR="00B26A74" w:rsidRDefault="00463788" w:rsidP="00A01489">
      <w:pPr>
        <w:spacing w:after="0" w:line="240" w:lineRule="auto"/>
        <w:rPr>
          <w:color w:val="000000"/>
        </w:rPr>
      </w:pPr>
      <w:r>
        <w:rPr>
          <w:color w:val="000000"/>
        </w:rPr>
        <w:t xml:space="preserve"> </w:t>
      </w:r>
    </w:p>
    <w:p w:rsidR="00683AAD" w:rsidRDefault="00854A85" w:rsidP="003E62A4">
      <w:pPr>
        <w:spacing w:after="0" w:line="240" w:lineRule="auto"/>
        <w:rPr>
          <w:color w:val="000000"/>
        </w:rPr>
      </w:pPr>
      <w:r w:rsidRPr="00366B5F">
        <w:rPr>
          <w:color w:val="000000"/>
        </w:rPr>
        <w:t>Parterne er enige om</w:t>
      </w:r>
      <w:r w:rsidR="00683AAD">
        <w:rPr>
          <w:color w:val="000000"/>
        </w:rPr>
        <w:t>,</w:t>
      </w:r>
      <w:r w:rsidRPr="00366B5F">
        <w:rPr>
          <w:color w:val="000000"/>
        </w:rPr>
        <w:t xml:space="preserve"> at der på nogle af områderne er behov for at udarbejde uddybende bilag som opfølgning på denne aftale.</w:t>
      </w:r>
      <w:r w:rsidR="00683AAD">
        <w:rPr>
          <w:color w:val="000000"/>
        </w:rPr>
        <w:t xml:space="preserve"> Dette omfatter </w:t>
      </w:r>
      <w:r w:rsidR="003C0FD0">
        <w:rPr>
          <w:color w:val="000000"/>
        </w:rPr>
        <w:t>detaljere</w:t>
      </w:r>
      <w:r w:rsidR="00683AAD">
        <w:rPr>
          <w:color w:val="000000"/>
        </w:rPr>
        <w:t>de</w:t>
      </w:r>
      <w:r w:rsidR="003C0FD0">
        <w:rPr>
          <w:color w:val="000000"/>
        </w:rPr>
        <w:t xml:space="preserve"> beskrivelse</w:t>
      </w:r>
      <w:r w:rsidR="00683AAD">
        <w:rPr>
          <w:color w:val="000000"/>
        </w:rPr>
        <w:t>r</w:t>
      </w:r>
      <w:r w:rsidR="003C0FD0">
        <w:rPr>
          <w:color w:val="000000"/>
        </w:rPr>
        <w:t xml:space="preserve"> af hvordan TLR’s opgaver </w:t>
      </w:r>
      <w:r w:rsidR="00481AF6">
        <w:rPr>
          <w:color w:val="000000"/>
        </w:rPr>
        <w:t xml:space="preserve">med Ejerfortegnelsen, herunder samarbejdet med KL og SKAT, samt opgaverne hvor der er samarbejde med Matriklen, skal håndteres </w:t>
      </w:r>
      <w:r w:rsidR="003C0FD0">
        <w:rPr>
          <w:color w:val="000000"/>
        </w:rPr>
        <w:t xml:space="preserve">fremover. </w:t>
      </w:r>
      <w:r w:rsidR="002C60F4">
        <w:rPr>
          <w:color w:val="000000"/>
        </w:rPr>
        <w:t>TLR, GST og MBBL har et gensidigt ansvar for proaktivt at søge løsninger på problematikkerne i GD1, således at de fælles mål for GD1 kan nås indenfor de aftalte rammer og frister.</w:t>
      </w:r>
    </w:p>
    <w:p w:rsidR="005033AF" w:rsidRDefault="005033AF" w:rsidP="003E62A4">
      <w:pPr>
        <w:spacing w:after="0" w:line="240" w:lineRule="auto"/>
        <w:rPr>
          <w:color w:val="000000"/>
        </w:rPr>
      </w:pPr>
    </w:p>
    <w:p w:rsidR="005033AF" w:rsidRDefault="00683AAD" w:rsidP="003E62A4">
      <w:pPr>
        <w:spacing w:after="0" w:line="240" w:lineRule="auto"/>
        <w:rPr>
          <w:color w:val="000000"/>
        </w:rPr>
      </w:pPr>
      <w:r>
        <w:rPr>
          <w:color w:val="000000"/>
        </w:rPr>
        <w:t>E</w:t>
      </w:r>
      <w:r w:rsidR="005033AF">
        <w:rPr>
          <w:color w:val="000000"/>
        </w:rPr>
        <w:t xml:space="preserve">ksplicit </w:t>
      </w:r>
      <w:r>
        <w:rPr>
          <w:color w:val="000000"/>
        </w:rPr>
        <w:t xml:space="preserve">skal der </w:t>
      </w:r>
      <w:r w:rsidR="002E47A3">
        <w:rPr>
          <w:color w:val="000000"/>
        </w:rPr>
        <w:t>fastlægges</w:t>
      </w:r>
      <w:r>
        <w:rPr>
          <w:color w:val="000000"/>
        </w:rPr>
        <w:t xml:space="preserve"> </w:t>
      </w:r>
      <w:r w:rsidR="005033AF">
        <w:rPr>
          <w:color w:val="000000"/>
        </w:rPr>
        <w:t>følgende:</w:t>
      </w:r>
    </w:p>
    <w:p w:rsidR="000E36F1" w:rsidRDefault="002E47A3" w:rsidP="005033AF">
      <w:pPr>
        <w:pStyle w:val="Listeafsnit"/>
        <w:numPr>
          <w:ilvl w:val="0"/>
          <w:numId w:val="17"/>
        </w:numPr>
        <w:spacing w:after="0" w:line="240" w:lineRule="auto"/>
        <w:rPr>
          <w:color w:val="000000"/>
        </w:rPr>
      </w:pPr>
      <w:r>
        <w:rPr>
          <w:color w:val="000000"/>
        </w:rPr>
        <w:t>Retningslinier</w:t>
      </w:r>
      <w:r w:rsidR="000E36F1">
        <w:rPr>
          <w:color w:val="000000"/>
        </w:rPr>
        <w:t xml:space="preserve"> for h</w:t>
      </w:r>
      <w:r w:rsidR="005033AF">
        <w:rPr>
          <w:color w:val="000000"/>
        </w:rPr>
        <w:t xml:space="preserve">åndtering af </w:t>
      </w:r>
      <w:r w:rsidR="000E36F1">
        <w:rPr>
          <w:color w:val="000000"/>
        </w:rPr>
        <w:t>registreringer i Ejerfortegnelse</w:t>
      </w:r>
      <w:r w:rsidR="00807144">
        <w:rPr>
          <w:color w:val="000000"/>
        </w:rPr>
        <w:t xml:space="preserve"> også </w:t>
      </w:r>
      <w:r w:rsidR="000E36F1">
        <w:rPr>
          <w:color w:val="000000"/>
        </w:rPr>
        <w:t>i de tilfælde, hvor Tingbogens oplysninger afviger fra Ejerfortegnelsens.</w:t>
      </w:r>
    </w:p>
    <w:p w:rsidR="00CE1140" w:rsidRDefault="002E47A3" w:rsidP="00CE1140">
      <w:pPr>
        <w:pStyle w:val="Listeafsnit"/>
        <w:numPr>
          <w:ilvl w:val="0"/>
          <w:numId w:val="17"/>
        </w:numPr>
        <w:spacing w:after="0" w:line="240" w:lineRule="auto"/>
        <w:rPr>
          <w:color w:val="000000"/>
        </w:rPr>
      </w:pPr>
      <w:r>
        <w:rPr>
          <w:color w:val="000000"/>
        </w:rPr>
        <w:t>Retningslinier for</w:t>
      </w:r>
      <w:r w:rsidR="00CE1140">
        <w:rPr>
          <w:color w:val="000000"/>
        </w:rPr>
        <w:t xml:space="preserve"> forvaltning af Ejerfortegnelsen, herunder </w:t>
      </w:r>
      <w:r w:rsidR="000E36F1">
        <w:rPr>
          <w:color w:val="000000"/>
        </w:rPr>
        <w:t xml:space="preserve"> for håndtering af ændring</w:t>
      </w:r>
      <w:r w:rsidR="00CE1140">
        <w:rPr>
          <w:color w:val="000000"/>
        </w:rPr>
        <w:t>sønsker</w:t>
      </w:r>
      <w:r w:rsidR="000E36F1">
        <w:rPr>
          <w:color w:val="000000"/>
        </w:rPr>
        <w:t xml:space="preserve"> i forhold til Ejerfortegnelsen</w:t>
      </w:r>
      <w:r w:rsidR="00CE1140">
        <w:rPr>
          <w:color w:val="000000"/>
        </w:rPr>
        <w:t>.</w:t>
      </w:r>
    </w:p>
    <w:p w:rsidR="00CE1140" w:rsidRPr="00CE1140" w:rsidRDefault="002E47A3" w:rsidP="00CE1140">
      <w:pPr>
        <w:pStyle w:val="Listeafsnit"/>
        <w:numPr>
          <w:ilvl w:val="0"/>
          <w:numId w:val="17"/>
        </w:numPr>
        <w:spacing w:after="0" w:line="240" w:lineRule="auto"/>
        <w:rPr>
          <w:color w:val="000000"/>
        </w:rPr>
      </w:pPr>
      <w:r>
        <w:rPr>
          <w:color w:val="000000"/>
        </w:rPr>
        <w:t>Retningslinier</w:t>
      </w:r>
      <w:r w:rsidR="00CE1140">
        <w:rPr>
          <w:color w:val="000000"/>
        </w:rPr>
        <w:t xml:space="preserve"> i forhold til eksport af </w:t>
      </w:r>
      <w:r w:rsidR="008A02F4">
        <w:rPr>
          <w:color w:val="000000"/>
        </w:rPr>
        <w:t xml:space="preserve">kvalitetsforbedrede </w:t>
      </w:r>
      <w:r w:rsidR="00CE1140">
        <w:rPr>
          <w:color w:val="000000"/>
        </w:rPr>
        <w:t xml:space="preserve">ejer- og ejendomsoplysninger fra </w:t>
      </w:r>
      <w:r w:rsidR="008A02F4">
        <w:rPr>
          <w:color w:val="000000"/>
        </w:rPr>
        <w:t>ESR og efterfølgende import i Ejerfortegnelsen.</w:t>
      </w:r>
    </w:p>
    <w:p w:rsidR="002C5B01" w:rsidRDefault="002E47A3" w:rsidP="002C5B01">
      <w:pPr>
        <w:pStyle w:val="Listeafsnit"/>
        <w:numPr>
          <w:ilvl w:val="0"/>
          <w:numId w:val="17"/>
        </w:numPr>
        <w:spacing w:after="0" w:line="240" w:lineRule="auto"/>
        <w:rPr>
          <w:color w:val="000000"/>
        </w:rPr>
      </w:pPr>
      <w:r>
        <w:rPr>
          <w:color w:val="000000"/>
        </w:rPr>
        <w:lastRenderedPageBreak/>
        <w:t>Retningslinier for</w:t>
      </w:r>
      <w:r w:rsidR="005323FF">
        <w:rPr>
          <w:color w:val="000000"/>
        </w:rPr>
        <w:t xml:space="preserve"> </w:t>
      </w:r>
      <w:r w:rsidR="005033AF">
        <w:rPr>
          <w:color w:val="000000"/>
        </w:rPr>
        <w:t xml:space="preserve">kvalitetsforbedring (datavask) af ejendomsdata, herunder </w:t>
      </w:r>
      <w:r w:rsidR="00CE1140">
        <w:rPr>
          <w:color w:val="000000"/>
        </w:rPr>
        <w:t xml:space="preserve">import og </w:t>
      </w:r>
      <w:r w:rsidR="005033AF">
        <w:rPr>
          <w:color w:val="000000"/>
        </w:rPr>
        <w:t xml:space="preserve">anvendelse af </w:t>
      </w:r>
      <w:r w:rsidR="005323FF">
        <w:rPr>
          <w:color w:val="000000"/>
        </w:rPr>
        <w:t xml:space="preserve">Matriklens </w:t>
      </w:r>
      <w:r w:rsidR="00CE1140">
        <w:rPr>
          <w:color w:val="000000"/>
        </w:rPr>
        <w:t xml:space="preserve">kvalitetsforbedrede </w:t>
      </w:r>
      <w:r w:rsidR="005033AF">
        <w:rPr>
          <w:color w:val="000000"/>
        </w:rPr>
        <w:t>data i Tingbogen.</w:t>
      </w:r>
    </w:p>
    <w:p w:rsidR="002C5B01" w:rsidRPr="007A3DD9" w:rsidRDefault="002C5B01" w:rsidP="002C5B01">
      <w:pPr>
        <w:pStyle w:val="Listeafsnit"/>
        <w:spacing w:after="0" w:line="240" w:lineRule="auto"/>
      </w:pPr>
    </w:p>
    <w:p w:rsidR="007A3DD9" w:rsidRPr="00F10912" w:rsidRDefault="007A3DD9" w:rsidP="007A3DD9">
      <w:pPr>
        <w:spacing w:after="0" w:line="240" w:lineRule="auto"/>
      </w:pPr>
      <w:r w:rsidRPr="00F10912">
        <w:t>Der udarbejdes hurtigst muligt en plan for afklaring og specifikation af</w:t>
      </w:r>
      <w:r w:rsidR="00F02531" w:rsidRPr="00F10912">
        <w:t xml:space="preserve"> disse</w:t>
      </w:r>
      <w:r w:rsidRPr="00F10912">
        <w:t xml:space="preserve"> retningslinjer</w:t>
      </w:r>
      <w:r w:rsidR="00F02531" w:rsidRPr="00F10912">
        <w:t>.</w:t>
      </w:r>
      <w:r w:rsidRPr="00F10912">
        <w:t xml:space="preserve"> Denne plan indarbejdes i den godkendte fælles implementeringsplan, således at afklaringsarbejdet ikke får opsættende virkning på gennemførelsen af implementeringsplanens øvrige aktiviteter</w:t>
      </w:r>
      <w:r w:rsidR="00F02531" w:rsidRPr="00F10912">
        <w:t>.</w:t>
      </w:r>
    </w:p>
    <w:p w:rsidR="007A3DD9" w:rsidRDefault="007A3DD9" w:rsidP="009D1E2E">
      <w:pPr>
        <w:spacing w:after="0" w:line="240" w:lineRule="auto"/>
        <w:rPr>
          <w:color w:val="000000"/>
        </w:rPr>
      </w:pPr>
    </w:p>
    <w:p w:rsidR="009D1E2E" w:rsidRDefault="002B2090" w:rsidP="009D1E2E">
      <w:pPr>
        <w:spacing w:after="0" w:line="240" w:lineRule="auto"/>
        <w:rPr>
          <w:color w:val="000000"/>
        </w:rPr>
      </w:pPr>
      <w:r>
        <w:rPr>
          <w:color w:val="000000"/>
        </w:rPr>
        <w:t>Ultimo</w:t>
      </w:r>
      <w:r w:rsidR="00376729">
        <w:rPr>
          <w:color w:val="000000"/>
        </w:rPr>
        <w:t xml:space="preserve"> maj </w:t>
      </w:r>
      <w:r w:rsidR="004935CC">
        <w:rPr>
          <w:color w:val="000000"/>
        </w:rPr>
        <w:t xml:space="preserve">2013 </w:t>
      </w:r>
      <w:r w:rsidR="00376729">
        <w:rPr>
          <w:color w:val="000000"/>
        </w:rPr>
        <w:t xml:space="preserve">skal der være en </w:t>
      </w:r>
      <w:r w:rsidR="00F20B40">
        <w:rPr>
          <w:color w:val="000000"/>
        </w:rPr>
        <w:t>risikogodkendelse</w:t>
      </w:r>
      <w:r w:rsidR="00376729">
        <w:rPr>
          <w:color w:val="000000"/>
        </w:rPr>
        <w:t xml:space="preserve"> af </w:t>
      </w:r>
      <w:r w:rsidR="00383CDF">
        <w:rPr>
          <w:color w:val="000000"/>
        </w:rPr>
        <w:t>udvalgte</w:t>
      </w:r>
      <w:r w:rsidR="00376729">
        <w:rPr>
          <w:color w:val="000000"/>
        </w:rPr>
        <w:t xml:space="preserve"> samarbejdspunk</w:t>
      </w:r>
      <w:r w:rsidR="00603ACC">
        <w:rPr>
          <w:color w:val="000000"/>
        </w:rPr>
        <w:t xml:space="preserve">ter, som </w:t>
      </w:r>
      <w:r w:rsidR="00527C64">
        <w:rPr>
          <w:color w:val="000000"/>
        </w:rPr>
        <w:t>indeholder</w:t>
      </w:r>
      <w:r w:rsidR="00603ACC">
        <w:rPr>
          <w:color w:val="000000"/>
        </w:rPr>
        <w:t xml:space="preserve"> programmæssig</w:t>
      </w:r>
      <w:r w:rsidR="0038340B">
        <w:rPr>
          <w:color w:val="000000"/>
        </w:rPr>
        <w:t>e ricisis</w:t>
      </w:r>
      <w:r w:rsidR="00376729">
        <w:rPr>
          <w:color w:val="000000"/>
        </w:rPr>
        <w:t xml:space="preserve">, </w:t>
      </w:r>
      <w:r w:rsidR="00683AAD" w:rsidRPr="00366B5F">
        <w:rPr>
          <w:color w:val="000000"/>
        </w:rPr>
        <w:t>så der er sikkerhed for, at forelæggelsen for Statens IT-projektråd til juni hviler på et aftalt og sikkert grundlag.</w:t>
      </w:r>
      <w:r w:rsidR="00376729">
        <w:rPr>
          <w:color w:val="000000"/>
        </w:rPr>
        <w:t xml:space="preserve">  </w:t>
      </w:r>
      <w:r w:rsidR="00F20B40">
        <w:rPr>
          <w:color w:val="000000"/>
        </w:rPr>
        <w:t>Risikogodkendelsen</w:t>
      </w:r>
      <w:r w:rsidR="00376729">
        <w:rPr>
          <w:color w:val="000000"/>
        </w:rPr>
        <w:t xml:space="preserve"> skal tiltrædes</w:t>
      </w:r>
      <w:r w:rsidR="009D1E2E" w:rsidRPr="00230950">
        <w:rPr>
          <w:color w:val="000000"/>
        </w:rPr>
        <w:t xml:space="preserve"> af </w:t>
      </w:r>
      <w:r w:rsidR="005613CC">
        <w:rPr>
          <w:color w:val="000000"/>
        </w:rPr>
        <w:t>DMST</w:t>
      </w:r>
      <w:r w:rsidR="009D1E2E" w:rsidRPr="00230950">
        <w:rPr>
          <w:color w:val="000000"/>
        </w:rPr>
        <w:t>, D</w:t>
      </w:r>
      <w:r w:rsidR="009D1E2E">
        <w:rPr>
          <w:color w:val="000000"/>
        </w:rPr>
        <w:t xml:space="preserve">igitaliseringsstyrelsen, Geodatastyrelsen og </w:t>
      </w:r>
      <w:r w:rsidR="009D1E2E" w:rsidRPr="00230950">
        <w:rPr>
          <w:color w:val="000000"/>
        </w:rPr>
        <w:t>MBBL</w:t>
      </w:r>
      <w:r w:rsidR="009D1E2E">
        <w:rPr>
          <w:color w:val="000000"/>
        </w:rPr>
        <w:t>.</w:t>
      </w:r>
    </w:p>
    <w:p w:rsidR="002C60F4" w:rsidRDefault="002C60F4" w:rsidP="003E62A4">
      <w:pPr>
        <w:spacing w:after="0" w:line="240" w:lineRule="auto"/>
        <w:rPr>
          <w:color w:val="000000"/>
        </w:rPr>
      </w:pPr>
    </w:p>
    <w:p w:rsidR="00177C01" w:rsidRDefault="00177C01" w:rsidP="00177C01">
      <w:pPr>
        <w:pStyle w:val="Almindeligtekst"/>
        <w:rPr>
          <w:rFonts w:asciiTheme="minorHAnsi" w:hAnsiTheme="minorHAnsi"/>
          <w:b/>
          <w:color w:val="000000"/>
          <w:sz w:val="22"/>
          <w:szCs w:val="22"/>
        </w:rPr>
      </w:pPr>
      <w:r w:rsidRPr="003E62A4">
        <w:rPr>
          <w:rFonts w:asciiTheme="minorHAnsi" w:hAnsiTheme="minorHAnsi"/>
          <w:b/>
          <w:color w:val="000000"/>
          <w:sz w:val="22"/>
          <w:szCs w:val="22"/>
        </w:rPr>
        <w:t>Mandat</w:t>
      </w:r>
      <w:r>
        <w:rPr>
          <w:rFonts w:asciiTheme="minorHAnsi" w:hAnsiTheme="minorHAnsi"/>
          <w:b/>
          <w:color w:val="000000"/>
          <w:sz w:val="22"/>
          <w:szCs w:val="22"/>
        </w:rPr>
        <w:t xml:space="preserve"> til MBBL</w:t>
      </w:r>
    </w:p>
    <w:p w:rsidR="00177C01" w:rsidRDefault="00177C01" w:rsidP="00177C01">
      <w:pPr>
        <w:spacing w:after="0" w:line="240" w:lineRule="auto"/>
        <w:rPr>
          <w:color w:val="000000"/>
        </w:rPr>
      </w:pPr>
      <w:r>
        <w:rPr>
          <w:color w:val="000000"/>
        </w:rPr>
        <w:t>De</w:t>
      </w:r>
      <w:r w:rsidR="002C5B01">
        <w:rPr>
          <w:color w:val="000000"/>
        </w:rPr>
        <w:t xml:space="preserve">nne aftale </w:t>
      </w:r>
      <w:r>
        <w:rPr>
          <w:color w:val="000000"/>
        </w:rPr>
        <w:t xml:space="preserve"> giver MBBL </w:t>
      </w:r>
      <w:r w:rsidRPr="003E62A4">
        <w:rPr>
          <w:color w:val="000000"/>
        </w:rPr>
        <w:t>mandat til at udarbejde den tek</w:t>
      </w:r>
      <w:r w:rsidR="009D1E2E">
        <w:rPr>
          <w:color w:val="000000"/>
        </w:rPr>
        <w:t>niske projektdokumentation for E</w:t>
      </w:r>
      <w:r w:rsidRPr="003E62A4">
        <w:rPr>
          <w:color w:val="000000"/>
        </w:rPr>
        <w:t xml:space="preserve">jerfortegnelsen og de nødvendige dokumenter til forelæggelsen for Statens it-projektråd i juni. Dette vil ske i samarbejde med TLR, Digitaliseringsstyrelsen, Geodatastyrelsen og med bistand fra de konsulenter, der allerede er involveret i arbejdet. Desuden vil de primære brugere af ejeroplysninger: KL/Kombit og SKAT blive inddraget i det tekniske udredningsarbejde. </w:t>
      </w:r>
      <w:r w:rsidR="009D1E2E">
        <w:rPr>
          <w:color w:val="000000"/>
        </w:rPr>
        <w:t xml:space="preserve">Dette arbejde igangsættes </w:t>
      </w:r>
      <w:r w:rsidRPr="003E62A4">
        <w:rPr>
          <w:color w:val="000000"/>
        </w:rPr>
        <w:t>på initiativ fra MBBL</w:t>
      </w:r>
      <w:r w:rsidR="00DC795E">
        <w:rPr>
          <w:color w:val="000000"/>
        </w:rPr>
        <w:t xml:space="preserve"> i umiddelbar forlængelse af denne aftale</w:t>
      </w:r>
      <w:r w:rsidR="002C5B01">
        <w:rPr>
          <w:color w:val="000000"/>
        </w:rPr>
        <w:t>.</w:t>
      </w:r>
      <w:r w:rsidR="002C5B01" w:rsidDel="002C5B01">
        <w:rPr>
          <w:color w:val="000000"/>
        </w:rPr>
        <w:t xml:space="preserve"> </w:t>
      </w:r>
    </w:p>
    <w:p w:rsidR="00177C01" w:rsidRDefault="00177C01" w:rsidP="00177C01">
      <w:pPr>
        <w:spacing w:after="0" w:line="240" w:lineRule="auto"/>
        <w:rPr>
          <w:color w:val="000000"/>
        </w:rPr>
      </w:pPr>
      <w:r w:rsidRPr="003E62A4">
        <w:rPr>
          <w:color w:val="000000"/>
        </w:rPr>
        <w:t>Da det fortsa</w:t>
      </w:r>
      <w:r w:rsidR="009D1E2E">
        <w:rPr>
          <w:color w:val="000000"/>
        </w:rPr>
        <w:t>t er TLR, der har ansvaret for E</w:t>
      </w:r>
      <w:r w:rsidRPr="003E62A4">
        <w:rPr>
          <w:color w:val="000000"/>
        </w:rPr>
        <w:t xml:space="preserve">jerfortegnelsen, vil det være TLR, som endeligt skal godkende </w:t>
      </w:r>
      <w:r>
        <w:rPr>
          <w:color w:val="000000"/>
        </w:rPr>
        <w:t>dokumenterne</w:t>
      </w:r>
      <w:r w:rsidRPr="003E62A4">
        <w:rPr>
          <w:color w:val="000000"/>
        </w:rPr>
        <w:t>.</w:t>
      </w:r>
    </w:p>
    <w:p w:rsidR="00177C01" w:rsidRDefault="00177C01" w:rsidP="00AD6923">
      <w:pPr>
        <w:pStyle w:val="Almindeligtekst"/>
        <w:rPr>
          <w:rFonts w:asciiTheme="minorHAnsi" w:hAnsiTheme="minorHAnsi"/>
          <w:color w:val="000000"/>
          <w:sz w:val="22"/>
          <w:szCs w:val="22"/>
        </w:rPr>
      </w:pPr>
    </w:p>
    <w:p w:rsidR="0093578A" w:rsidRDefault="00BF3356" w:rsidP="00AD6923">
      <w:pPr>
        <w:pStyle w:val="Almindeligtekst"/>
        <w:rPr>
          <w:rFonts w:asciiTheme="minorHAnsi" w:hAnsiTheme="minorHAnsi"/>
          <w:color w:val="000000"/>
          <w:sz w:val="22"/>
          <w:szCs w:val="22"/>
        </w:rPr>
      </w:pPr>
      <w:r w:rsidRPr="00BF3356">
        <w:rPr>
          <w:rFonts w:asciiTheme="minorHAnsi" w:hAnsiTheme="minorHAnsi"/>
          <w:b/>
          <w:color w:val="000000"/>
          <w:sz w:val="22"/>
          <w:szCs w:val="22"/>
        </w:rPr>
        <w:t>Afrunding</w:t>
      </w:r>
    </w:p>
    <w:p w:rsidR="00DC795E" w:rsidRDefault="00DC795E" w:rsidP="00AD6923">
      <w:pPr>
        <w:pStyle w:val="Almindeligtekst"/>
        <w:rPr>
          <w:rFonts w:asciiTheme="minorHAnsi" w:hAnsiTheme="minorHAnsi"/>
          <w:color w:val="000000"/>
          <w:sz w:val="22"/>
          <w:szCs w:val="22"/>
        </w:rPr>
      </w:pPr>
      <w:r>
        <w:rPr>
          <w:rFonts w:asciiTheme="minorHAnsi" w:hAnsiTheme="minorHAnsi"/>
          <w:color w:val="000000"/>
          <w:sz w:val="22"/>
          <w:szCs w:val="22"/>
        </w:rPr>
        <w:t xml:space="preserve">Med indgåelse af denne aftale </w:t>
      </w:r>
      <w:r w:rsidR="00177C01">
        <w:rPr>
          <w:rFonts w:asciiTheme="minorHAnsi" w:hAnsiTheme="minorHAnsi"/>
          <w:color w:val="000000"/>
          <w:sz w:val="22"/>
          <w:szCs w:val="22"/>
        </w:rPr>
        <w:t xml:space="preserve">overgår ansvaret for de skitserede opgaver (projektledelse mm.) i praksis til MBBL </w:t>
      </w:r>
      <w:r w:rsidR="00500C78">
        <w:rPr>
          <w:rFonts w:asciiTheme="minorHAnsi" w:hAnsiTheme="minorHAnsi"/>
          <w:color w:val="000000"/>
          <w:sz w:val="22"/>
          <w:szCs w:val="22"/>
        </w:rPr>
        <w:t xml:space="preserve">pr. </w:t>
      </w:r>
      <w:r w:rsidR="0093578A">
        <w:rPr>
          <w:rFonts w:asciiTheme="minorHAnsi" w:hAnsiTheme="minorHAnsi"/>
          <w:color w:val="000000"/>
          <w:sz w:val="22"/>
          <w:szCs w:val="22"/>
        </w:rPr>
        <w:t xml:space="preserve">dags dato. </w:t>
      </w:r>
    </w:p>
    <w:p w:rsidR="00DC795E" w:rsidRDefault="00DC795E" w:rsidP="00AD6923">
      <w:pPr>
        <w:pStyle w:val="Almindeligtekst"/>
        <w:rPr>
          <w:rFonts w:asciiTheme="minorHAnsi" w:hAnsiTheme="minorHAnsi"/>
          <w:color w:val="000000"/>
          <w:sz w:val="22"/>
          <w:szCs w:val="22"/>
        </w:rPr>
      </w:pPr>
    </w:p>
    <w:p w:rsidR="00177C01" w:rsidRDefault="00177C01" w:rsidP="00AD6923">
      <w:pPr>
        <w:pStyle w:val="Almindeligtekst"/>
        <w:rPr>
          <w:rFonts w:asciiTheme="minorHAnsi" w:hAnsiTheme="minorHAnsi"/>
          <w:color w:val="000000"/>
          <w:sz w:val="22"/>
          <w:szCs w:val="22"/>
        </w:rPr>
      </w:pPr>
      <w:r>
        <w:rPr>
          <w:rFonts w:asciiTheme="minorHAnsi" w:hAnsiTheme="minorHAnsi"/>
          <w:color w:val="000000"/>
          <w:sz w:val="22"/>
          <w:szCs w:val="22"/>
        </w:rPr>
        <w:t xml:space="preserve">De første opgaver for MBBL er </w:t>
      </w:r>
    </w:p>
    <w:p w:rsidR="00BD6CF2" w:rsidRPr="00EF4198" w:rsidRDefault="00866727" w:rsidP="00EF4198">
      <w:pPr>
        <w:pStyle w:val="Almindeligtekst"/>
        <w:numPr>
          <w:ilvl w:val="0"/>
          <w:numId w:val="18"/>
        </w:numPr>
        <w:rPr>
          <w:rFonts w:asciiTheme="minorHAnsi" w:hAnsiTheme="minorHAnsi"/>
          <w:color w:val="000000"/>
          <w:sz w:val="22"/>
          <w:szCs w:val="22"/>
        </w:rPr>
      </w:pPr>
      <w:r w:rsidRPr="00BD6CF2">
        <w:rPr>
          <w:rFonts w:asciiTheme="minorHAnsi" w:hAnsiTheme="minorHAnsi"/>
          <w:color w:val="000000"/>
          <w:sz w:val="22"/>
          <w:szCs w:val="22"/>
        </w:rPr>
        <w:t xml:space="preserve">At sikre </w:t>
      </w:r>
      <w:r w:rsidR="009D1E2E" w:rsidRPr="00BD6CF2">
        <w:rPr>
          <w:rFonts w:asciiTheme="minorHAnsi" w:hAnsiTheme="minorHAnsi"/>
          <w:color w:val="000000"/>
          <w:sz w:val="22"/>
          <w:szCs w:val="22"/>
        </w:rPr>
        <w:t>Ejerfortegnelse</w:t>
      </w:r>
      <w:r w:rsidRPr="00BD6CF2">
        <w:rPr>
          <w:rFonts w:asciiTheme="minorHAnsi" w:hAnsiTheme="minorHAnsi"/>
          <w:color w:val="000000"/>
          <w:sz w:val="22"/>
          <w:szCs w:val="22"/>
        </w:rPr>
        <w:t>ns forvaltningsmæssige, tekniske og systemmæssige sammenhæng til GD1’</w:t>
      </w:r>
      <w:r w:rsidR="00BD6CF2" w:rsidRPr="00BD6CF2">
        <w:rPr>
          <w:rFonts w:asciiTheme="minorHAnsi" w:hAnsiTheme="minorHAnsi"/>
          <w:color w:val="000000"/>
          <w:sz w:val="22"/>
          <w:szCs w:val="22"/>
        </w:rPr>
        <w:t xml:space="preserve">s øvrige aktiviteter og behov, herunder </w:t>
      </w:r>
      <w:r w:rsidR="00BD6CF2" w:rsidRPr="00EF4198">
        <w:rPr>
          <w:rFonts w:asciiTheme="minorHAnsi" w:hAnsiTheme="minorHAnsi"/>
          <w:color w:val="000000"/>
          <w:sz w:val="22"/>
          <w:szCs w:val="22"/>
        </w:rPr>
        <w:t>anvendelse af Matriklens ejendomsregistrering baseret på BFE.</w:t>
      </w:r>
    </w:p>
    <w:p w:rsidR="00383CDF" w:rsidRPr="00366B5F" w:rsidRDefault="00866727" w:rsidP="00366B5F">
      <w:pPr>
        <w:pStyle w:val="Almindeligtekst"/>
        <w:numPr>
          <w:ilvl w:val="0"/>
          <w:numId w:val="18"/>
        </w:numPr>
        <w:rPr>
          <w:rFonts w:asciiTheme="minorHAnsi" w:hAnsiTheme="minorHAnsi"/>
          <w:color w:val="000000"/>
          <w:sz w:val="22"/>
          <w:szCs w:val="22"/>
        </w:rPr>
      </w:pPr>
      <w:r>
        <w:rPr>
          <w:rFonts w:asciiTheme="minorHAnsi" w:hAnsiTheme="minorHAnsi"/>
          <w:color w:val="000000"/>
          <w:sz w:val="22"/>
          <w:szCs w:val="22"/>
        </w:rPr>
        <w:t>At sikre at materialet til Statens IT</w:t>
      </w:r>
      <w:r w:rsidR="0093578A">
        <w:rPr>
          <w:rFonts w:asciiTheme="minorHAnsi" w:hAnsiTheme="minorHAnsi"/>
          <w:color w:val="000000"/>
          <w:sz w:val="22"/>
          <w:szCs w:val="22"/>
        </w:rPr>
        <w:t>-projektråd bliver udarbejdet i samarbejde med parterne og godkendt af TLR.</w:t>
      </w:r>
    </w:p>
    <w:p w:rsidR="003E62A4" w:rsidRPr="00366B5F" w:rsidRDefault="00866727" w:rsidP="00366B5F">
      <w:pPr>
        <w:pStyle w:val="Almindeligtekst"/>
        <w:numPr>
          <w:ilvl w:val="0"/>
          <w:numId w:val="18"/>
        </w:numPr>
        <w:rPr>
          <w:rFonts w:asciiTheme="minorHAnsi" w:hAnsiTheme="minorHAnsi"/>
          <w:color w:val="000000"/>
          <w:sz w:val="22"/>
          <w:szCs w:val="22"/>
        </w:rPr>
      </w:pPr>
      <w:r w:rsidRPr="00366B5F">
        <w:rPr>
          <w:rFonts w:asciiTheme="minorHAnsi" w:hAnsiTheme="minorHAnsi"/>
          <w:color w:val="000000"/>
          <w:sz w:val="22"/>
          <w:szCs w:val="22"/>
        </w:rPr>
        <w:t>A</w:t>
      </w:r>
      <w:r w:rsidR="00177C01" w:rsidRPr="00366B5F">
        <w:rPr>
          <w:rFonts w:asciiTheme="minorHAnsi" w:hAnsiTheme="minorHAnsi"/>
          <w:color w:val="000000"/>
          <w:sz w:val="22"/>
          <w:szCs w:val="22"/>
        </w:rPr>
        <w:t xml:space="preserve">t udarbejde forslag </w:t>
      </w:r>
      <w:r w:rsidR="00376729" w:rsidRPr="00366B5F">
        <w:rPr>
          <w:rFonts w:asciiTheme="minorHAnsi" w:hAnsiTheme="minorHAnsi"/>
          <w:color w:val="000000"/>
          <w:sz w:val="22"/>
          <w:szCs w:val="22"/>
        </w:rPr>
        <w:t>til specifikation af</w:t>
      </w:r>
      <w:r w:rsidR="00383CDF" w:rsidRPr="00366B5F">
        <w:rPr>
          <w:rFonts w:asciiTheme="minorHAnsi" w:hAnsiTheme="minorHAnsi"/>
          <w:color w:val="000000"/>
          <w:sz w:val="22"/>
          <w:szCs w:val="22"/>
        </w:rPr>
        <w:t xml:space="preserve"> udvalgte samarbejds</w:t>
      </w:r>
      <w:r w:rsidR="002C5B01" w:rsidRPr="00366B5F">
        <w:rPr>
          <w:rFonts w:asciiTheme="minorHAnsi" w:hAnsiTheme="minorHAnsi"/>
          <w:color w:val="000000"/>
          <w:sz w:val="22"/>
          <w:szCs w:val="22"/>
        </w:rPr>
        <w:t>punkter</w:t>
      </w:r>
      <w:r w:rsidR="00DC795E">
        <w:rPr>
          <w:rFonts w:asciiTheme="minorHAnsi" w:hAnsiTheme="minorHAnsi"/>
          <w:color w:val="000000"/>
          <w:sz w:val="22"/>
          <w:szCs w:val="22"/>
        </w:rPr>
        <w:t xml:space="preserve">, der </w:t>
      </w:r>
      <w:r w:rsidR="000938BC">
        <w:rPr>
          <w:rFonts w:asciiTheme="minorHAnsi" w:hAnsiTheme="minorHAnsi"/>
          <w:color w:val="000000"/>
          <w:sz w:val="22"/>
          <w:szCs w:val="22"/>
        </w:rPr>
        <w:t xml:space="preserve">har </w:t>
      </w:r>
      <w:r w:rsidR="00F20B40">
        <w:rPr>
          <w:rFonts w:asciiTheme="minorHAnsi" w:hAnsiTheme="minorHAnsi"/>
          <w:color w:val="000000"/>
          <w:sz w:val="22"/>
          <w:szCs w:val="22"/>
        </w:rPr>
        <w:t xml:space="preserve">en kritisk risikoprofil mhp. </w:t>
      </w:r>
      <w:r w:rsidR="000938BC">
        <w:rPr>
          <w:rFonts w:asciiTheme="minorHAnsi" w:hAnsiTheme="minorHAnsi"/>
          <w:color w:val="000000"/>
          <w:sz w:val="22"/>
          <w:szCs w:val="22"/>
        </w:rPr>
        <w:t xml:space="preserve">parternes </w:t>
      </w:r>
      <w:r w:rsidR="00F20B40">
        <w:rPr>
          <w:rFonts w:asciiTheme="minorHAnsi" w:hAnsiTheme="minorHAnsi"/>
          <w:color w:val="000000"/>
          <w:sz w:val="22"/>
          <w:szCs w:val="22"/>
        </w:rPr>
        <w:t>risikogodkendelse.</w:t>
      </w:r>
    </w:p>
    <w:p w:rsidR="00DC795E" w:rsidRDefault="00DC795E" w:rsidP="00177C01">
      <w:pPr>
        <w:rPr>
          <w:rFonts w:cstheme="minorHAnsi"/>
          <w:b/>
        </w:rPr>
      </w:pPr>
    </w:p>
    <w:p w:rsidR="008E32ED" w:rsidRDefault="008E32ED" w:rsidP="00177C01">
      <w:pPr>
        <w:rPr>
          <w:rFonts w:cstheme="minorHAnsi"/>
          <w:b/>
        </w:rPr>
      </w:pPr>
      <w:r>
        <w:rPr>
          <w:rFonts w:cstheme="minorHAnsi"/>
          <w:b/>
        </w:rPr>
        <w:t xml:space="preserve">Bilag 1. Oversigt over de økonomiske konsekvenser af opgaveflytningen på FL </w:t>
      </w:r>
    </w:p>
    <w:sectPr w:rsidR="008E32ED" w:rsidSect="00293B23">
      <w:footerReference w:type="default" r:id="rId8"/>
      <w:headerReference w:type="first" r:id="rId9"/>
      <w:footerReference w:type="first" r:id="rId10"/>
      <w:pgSz w:w="11906" w:h="16838" w:code="9"/>
      <w:pgMar w:top="1701" w:right="1416"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C1" w:rsidRDefault="00E47BC1" w:rsidP="00D81B88">
      <w:pPr>
        <w:spacing w:after="0" w:line="240" w:lineRule="auto"/>
      </w:pPr>
      <w:r>
        <w:separator/>
      </w:r>
    </w:p>
  </w:endnote>
  <w:endnote w:type="continuationSeparator" w:id="0">
    <w:p w:rsidR="00E47BC1" w:rsidRDefault="00E47BC1" w:rsidP="00D8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38" w:rsidRDefault="007F4E38" w:rsidP="009B0A02">
    <w:pPr>
      <w:pStyle w:val="Sidefod"/>
      <w:rPr>
        <w:sz w:val="18"/>
        <w:szCs w:val="18"/>
      </w:rPr>
    </w:pPr>
  </w:p>
  <w:p w:rsidR="007F4E38" w:rsidRPr="00CF620A" w:rsidRDefault="007F4E38" w:rsidP="009B0A02">
    <w:pPr>
      <w:pStyle w:val="Sidefod"/>
      <w:rPr>
        <w:rFonts w:ascii="Arial" w:hAnsi="Arial" w:cs="Arial"/>
        <w:sz w:val="16"/>
        <w:szCs w:val="16"/>
      </w:rPr>
    </w:pPr>
  </w:p>
  <w:p w:rsidR="007F4E38" w:rsidRPr="00CF620A" w:rsidRDefault="00710AEA" w:rsidP="009B0A02">
    <w:pPr>
      <w:pStyle w:val="Sidefod"/>
      <w:rPr>
        <w:rFonts w:ascii="Arial" w:hAnsi="Arial" w:cs="Arial"/>
        <w:sz w:val="16"/>
        <w:szCs w:val="16"/>
      </w:rPr>
    </w:pPr>
    <w:r w:rsidRPr="00CF620A">
      <w:rPr>
        <w:rFonts w:ascii="Arial" w:hAnsi="Arial" w:cs="Arial"/>
        <w:b/>
        <w:sz w:val="16"/>
        <w:szCs w:val="16"/>
      </w:rPr>
      <w:fldChar w:fldCharType="begin"/>
    </w:r>
    <w:r w:rsidR="007F4E38" w:rsidRPr="00CF620A">
      <w:rPr>
        <w:rFonts w:ascii="Arial" w:hAnsi="Arial" w:cs="Arial"/>
        <w:b/>
        <w:sz w:val="16"/>
        <w:szCs w:val="16"/>
      </w:rPr>
      <w:instrText>PAGE  \* Arabic  \* MERGEFORMAT</w:instrText>
    </w:r>
    <w:r w:rsidRPr="00CF620A">
      <w:rPr>
        <w:rFonts w:ascii="Arial" w:hAnsi="Arial" w:cs="Arial"/>
        <w:b/>
        <w:sz w:val="16"/>
        <w:szCs w:val="16"/>
      </w:rPr>
      <w:fldChar w:fldCharType="separate"/>
    </w:r>
    <w:r w:rsidR="000829B7">
      <w:rPr>
        <w:rFonts w:ascii="Arial" w:hAnsi="Arial" w:cs="Arial"/>
        <w:b/>
        <w:noProof/>
        <w:sz w:val="16"/>
        <w:szCs w:val="16"/>
      </w:rPr>
      <w:t>2</w:t>
    </w:r>
    <w:r w:rsidRPr="00CF620A">
      <w:rPr>
        <w:rFonts w:ascii="Arial" w:hAnsi="Arial" w:cs="Arial"/>
        <w:b/>
        <w:sz w:val="16"/>
        <w:szCs w:val="16"/>
      </w:rPr>
      <w:fldChar w:fldCharType="end"/>
    </w:r>
    <w:r w:rsidR="007F4E38" w:rsidRPr="00CF620A">
      <w:rPr>
        <w:rFonts w:ascii="Arial" w:hAnsi="Arial" w:cs="Arial"/>
        <w:sz w:val="16"/>
        <w:szCs w:val="16"/>
      </w:rPr>
      <w:t xml:space="preserve"> af </w:t>
    </w:r>
    <w:fldSimple w:instr="NUMPAGES  \* Arabic  \* MERGEFORMAT">
      <w:r w:rsidR="000829B7" w:rsidRPr="000829B7">
        <w:rPr>
          <w:rFonts w:ascii="Arial" w:hAnsi="Arial" w:cs="Arial"/>
          <w:b/>
          <w:noProof/>
          <w:sz w:val="16"/>
          <w:szCs w:val="16"/>
        </w:rPr>
        <w:t>5</w:t>
      </w:r>
    </w:fldSimple>
  </w:p>
  <w:p w:rsidR="007F4E38" w:rsidRPr="00CF620A" w:rsidRDefault="007F4E38" w:rsidP="009B0A02">
    <w:pPr>
      <w:pStyle w:val="Sidefod"/>
      <w:rPr>
        <w:rFonts w:ascii="Arial" w:hAnsi="Arial" w:cs="Arial"/>
        <w:sz w:val="16"/>
        <w:szCs w:val="16"/>
      </w:rPr>
    </w:pPr>
    <w:r w:rsidRPr="00CF620A">
      <w:rPr>
        <w:rFonts w:ascii="Arial" w:hAnsi="Arial" w:cs="Arial"/>
        <w:sz w:val="16"/>
        <w:szCs w:val="16"/>
      </w:rPr>
      <w:t xml:space="preserve">Gammel Mønt 4 · 1117 Købehavn K · T +45 33 92 29 00 · E mbbl@mbbl.dk · www.mbbl.dk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38" w:rsidRPr="00CF620A" w:rsidRDefault="007F4E38">
    <w:pPr>
      <w:pStyle w:val="Sidefod"/>
      <w:rPr>
        <w:rFonts w:ascii="Arial" w:hAnsi="Arial" w:cs="Arial"/>
        <w:sz w:val="16"/>
        <w:szCs w:val="16"/>
      </w:rPr>
    </w:pPr>
    <w:r w:rsidRPr="00CF620A">
      <w:rPr>
        <w:rFonts w:ascii="Arial" w:hAnsi="Arial" w:cs="Arial"/>
        <w:sz w:val="16"/>
        <w:szCs w:val="16"/>
      </w:rPr>
      <w:t>Gammel Mønt 4 · 1117 Købe</w:t>
    </w:r>
    <w:r>
      <w:rPr>
        <w:rFonts w:ascii="Arial" w:hAnsi="Arial" w:cs="Arial"/>
        <w:sz w:val="16"/>
        <w:szCs w:val="16"/>
      </w:rPr>
      <w:t>n</w:t>
    </w:r>
    <w:r w:rsidRPr="00CF620A">
      <w:rPr>
        <w:rFonts w:ascii="Arial" w:hAnsi="Arial" w:cs="Arial"/>
        <w:sz w:val="16"/>
        <w:szCs w:val="16"/>
      </w:rPr>
      <w:t xml:space="preserve">havn K · T +45 33 92 29 00 · E mbbl@mbbl.dk · www.mbbl.dk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C1" w:rsidRDefault="00E47BC1" w:rsidP="00D81B88">
      <w:pPr>
        <w:spacing w:after="0" w:line="240" w:lineRule="auto"/>
      </w:pPr>
      <w:r>
        <w:separator/>
      </w:r>
    </w:p>
  </w:footnote>
  <w:footnote w:type="continuationSeparator" w:id="0">
    <w:p w:rsidR="00E47BC1" w:rsidRDefault="00E47BC1" w:rsidP="00D81B88">
      <w:pPr>
        <w:spacing w:after="0" w:line="240" w:lineRule="auto"/>
      </w:pPr>
      <w:r>
        <w:continuationSeparator/>
      </w:r>
    </w:p>
  </w:footnote>
  <w:footnote w:id="1">
    <w:p w:rsidR="00950099" w:rsidRDefault="00950099">
      <w:pPr>
        <w:pStyle w:val="Fodnotetekst"/>
      </w:pPr>
      <w:r>
        <w:rPr>
          <w:rStyle w:val="Fodnotehenvisning"/>
        </w:rPr>
        <w:footnoteRef/>
      </w:r>
      <w:r>
        <w:t xml:space="preserve"> Der pågår et udvalgsarbejde </w:t>
      </w:r>
      <w:r w:rsidRPr="007A3DD9">
        <w:t xml:space="preserve">omkring </w:t>
      </w:r>
      <w:r w:rsidR="008A7199" w:rsidRPr="007A3DD9">
        <w:t>den fremtidige varetagelse af skiftesagsbehandlingen</w:t>
      </w:r>
      <w:r w:rsidR="00BD5D10" w:rsidRPr="007A3DD9">
        <w:t xml:space="preserve"> i regi</w:t>
      </w:r>
      <w:r w:rsidR="00BD5D10">
        <w:t xml:space="preserve"> af Justitsministeriet</w:t>
      </w:r>
      <w:r w:rsidR="005826E2">
        <w:t xml:space="preserve">. Løsningen </w:t>
      </w:r>
      <w:r w:rsidR="00BD5D10">
        <w:t xml:space="preserve">for GD1 </w:t>
      </w:r>
      <w:r w:rsidR="005826E2">
        <w:t>skal findes i relation til resultatet af dette arbejde.</w:t>
      </w:r>
    </w:p>
  </w:footnote>
  <w:footnote w:id="2">
    <w:p w:rsidR="00463788" w:rsidRDefault="00463788">
      <w:pPr>
        <w:pStyle w:val="Fodnotetekst"/>
      </w:pPr>
      <w:r>
        <w:rPr>
          <w:rStyle w:val="Fodnotehenvisning"/>
        </w:rPr>
        <w:footnoteRef/>
      </w:r>
      <w:r>
        <w:t xml:space="preserve"> Udredningsarbejde gennemført i marts 2012 af MBBL i samarbejde med KL, SKAT og TLR.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38" w:rsidRDefault="007F4E38" w:rsidP="006E3342">
    <w:pPr>
      <w:pStyle w:val="Sidehoved"/>
      <w:jc w:val="right"/>
    </w:pPr>
    <w:r>
      <w:rPr>
        <w:noProof/>
      </w:rPr>
      <w:drawing>
        <wp:anchor distT="0" distB="0" distL="114300" distR="114300" simplePos="0" relativeHeight="251658240" behindDoc="0" locked="0" layoutInCell="1" allowOverlap="1">
          <wp:simplePos x="0" y="0"/>
          <wp:positionH relativeFrom="column">
            <wp:posOffset>3834765</wp:posOffset>
          </wp:positionH>
          <wp:positionV relativeFrom="page">
            <wp:posOffset>410210</wp:posOffset>
          </wp:positionV>
          <wp:extent cx="1663200" cy="511200"/>
          <wp:effectExtent l="0" t="0" r="0" b="3175"/>
          <wp:wrapSquare wrapText="bothSides"/>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bbl_logo_rgb_s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200" cy="51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C1B"/>
    <w:multiLevelType w:val="hybridMultilevel"/>
    <w:tmpl w:val="80D041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DFC76A8"/>
    <w:multiLevelType w:val="hybridMultilevel"/>
    <w:tmpl w:val="67F80BE8"/>
    <w:lvl w:ilvl="0" w:tplc="4B64AC6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E5740C"/>
    <w:multiLevelType w:val="hybridMultilevel"/>
    <w:tmpl w:val="72267B1E"/>
    <w:lvl w:ilvl="0" w:tplc="EA78ABEE">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F3746A"/>
    <w:multiLevelType w:val="hybridMultilevel"/>
    <w:tmpl w:val="960AA2F2"/>
    <w:lvl w:ilvl="0" w:tplc="5586701E">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B46BA0"/>
    <w:multiLevelType w:val="hybridMultilevel"/>
    <w:tmpl w:val="1D8A911A"/>
    <w:lvl w:ilvl="0" w:tplc="E32CCE8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759287D"/>
    <w:multiLevelType w:val="hybridMultilevel"/>
    <w:tmpl w:val="ECC850EA"/>
    <w:lvl w:ilvl="0" w:tplc="5586701E">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643210"/>
    <w:multiLevelType w:val="hybridMultilevel"/>
    <w:tmpl w:val="9208BA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0F0311F"/>
    <w:multiLevelType w:val="hybridMultilevel"/>
    <w:tmpl w:val="38D4A2B6"/>
    <w:lvl w:ilvl="0" w:tplc="5586701E">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6646BB"/>
    <w:multiLevelType w:val="hybridMultilevel"/>
    <w:tmpl w:val="82463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746913"/>
    <w:multiLevelType w:val="hybridMultilevel"/>
    <w:tmpl w:val="B2CCC6CA"/>
    <w:lvl w:ilvl="0" w:tplc="FD486CCE">
      <w:start w:val="10"/>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2B7261E"/>
    <w:multiLevelType w:val="hybridMultilevel"/>
    <w:tmpl w:val="2A80F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325928"/>
    <w:multiLevelType w:val="hybridMultilevel"/>
    <w:tmpl w:val="BEA8CDCC"/>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05F1539"/>
    <w:multiLevelType w:val="hybridMultilevel"/>
    <w:tmpl w:val="BC6063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13A58CB"/>
    <w:multiLevelType w:val="hybridMultilevel"/>
    <w:tmpl w:val="6152F6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2525F3B"/>
    <w:multiLevelType w:val="hybridMultilevel"/>
    <w:tmpl w:val="9208BA6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5847F4C"/>
    <w:multiLevelType w:val="hybridMultilevel"/>
    <w:tmpl w:val="D9A2DFC2"/>
    <w:lvl w:ilvl="0" w:tplc="0406000F">
      <w:start w:val="1"/>
      <w:numFmt w:val="decimal"/>
      <w:lvlText w:val="%1."/>
      <w:lvlJc w:val="left"/>
      <w:pPr>
        <w:ind w:left="768" w:hanging="360"/>
      </w:pPr>
      <w:rPr>
        <w:rFonts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6" w15:restartNumberingAfterBreak="0">
    <w:nsid w:val="59560953"/>
    <w:multiLevelType w:val="hybridMultilevel"/>
    <w:tmpl w:val="E166BD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FAC0524"/>
    <w:multiLevelType w:val="hybridMultilevel"/>
    <w:tmpl w:val="BCFCB2DC"/>
    <w:lvl w:ilvl="0" w:tplc="5586701E">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DAE7C3D"/>
    <w:multiLevelType w:val="hybridMultilevel"/>
    <w:tmpl w:val="3AB6BE58"/>
    <w:lvl w:ilvl="0" w:tplc="A8565FCA">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9546A8C"/>
    <w:multiLevelType w:val="singleLevel"/>
    <w:tmpl w:val="7348FD92"/>
    <w:lvl w:ilvl="0">
      <w:start w:val="1"/>
      <w:numFmt w:val="decimal"/>
      <w:lvlText w:val="%1."/>
      <w:lvlJc w:val="left"/>
      <w:pPr>
        <w:tabs>
          <w:tab w:val="num" w:pos="-360"/>
        </w:tabs>
        <w:ind w:left="360" w:hanging="360"/>
      </w:pPr>
      <w:rPr>
        <w:rFonts w:hint="default"/>
        <w:sz w:val="24"/>
        <w:szCs w:val="24"/>
      </w:rPr>
    </w:lvl>
  </w:abstractNum>
  <w:abstractNum w:abstractNumId="20" w15:restartNumberingAfterBreak="0">
    <w:nsid w:val="79947295"/>
    <w:multiLevelType w:val="hybridMultilevel"/>
    <w:tmpl w:val="E670F1E4"/>
    <w:lvl w:ilvl="0" w:tplc="64B033CC">
      <w:start w:val="1"/>
      <w:numFmt w:val="lowerLetter"/>
      <w:lvlText w:val="%1."/>
      <w:lvlJc w:val="left"/>
      <w:pPr>
        <w:ind w:left="720" w:hanging="360"/>
      </w:pPr>
      <w:rPr>
        <w:rFonts w:ascii="Arial" w:eastAsia="Times New Roman" w:hAnsi="Arial" w:cs="Arial"/>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A683D14"/>
    <w:multiLevelType w:val="hybridMultilevel"/>
    <w:tmpl w:val="F2228E00"/>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22" w15:restartNumberingAfterBreak="0">
    <w:nsid w:val="7C0475E6"/>
    <w:multiLevelType w:val="hybridMultilevel"/>
    <w:tmpl w:val="32DC846C"/>
    <w:lvl w:ilvl="0" w:tplc="5BE86F96">
      <w:numFmt w:val="bullet"/>
      <w:lvlText w:val="-"/>
      <w:lvlJc w:val="left"/>
      <w:pPr>
        <w:ind w:left="720" w:hanging="360"/>
      </w:pPr>
      <w:rPr>
        <w:rFonts w:ascii="Calibri" w:eastAsia="Calibri" w:hAnsi="Calibri" w:cs="Times New Roman" w:hint="default"/>
        <w:color w:val="1F497D"/>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3"/>
  </w:num>
  <w:num w:numId="5">
    <w:abstractNumId w:val="20"/>
  </w:num>
  <w:num w:numId="6">
    <w:abstractNumId w:val="7"/>
  </w:num>
  <w:num w:numId="7">
    <w:abstractNumId w:val="5"/>
  </w:num>
  <w:num w:numId="8">
    <w:abstractNumId w:val="4"/>
  </w:num>
  <w:num w:numId="9">
    <w:abstractNumId w:val="22"/>
  </w:num>
  <w:num w:numId="10">
    <w:abstractNumId w:val="13"/>
  </w:num>
  <w:num w:numId="11">
    <w:abstractNumId w:val="1"/>
  </w:num>
  <w:num w:numId="12">
    <w:abstractNumId w:val="18"/>
  </w:num>
  <w:num w:numId="13">
    <w:abstractNumId w:val="19"/>
  </w:num>
  <w:num w:numId="14">
    <w:abstractNumId w:val="6"/>
  </w:num>
  <w:num w:numId="15">
    <w:abstractNumId w:val="14"/>
  </w:num>
  <w:num w:numId="16">
    <w:abstractNumId w:val="16"/>
  </w:num>
  <w:num w:numId="17">
    <w:abstractNumId w:val="0"/>
  </w:num>
  <w:num w:numId="18">
    <w:abstractNumId w:val="10"/>
  </w:num>
  <w:num w:numId="19">
    <w:abstractNumId w:val="12"/>
  </w:num>
  <w:num w:numId="20">
    <w:abstractNumId w:val="11"/>
  </w:num>
  <w:num w:numId="21">
    <w:abstractNumId w:val="21"/>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136E"/>
    <w:rsid w:val="000039BB"/>
    <w:rsid w:val="000071C8"/>
    <w:rsid w:val="00014F80"/>
    <w:rsid w:val="00016CE4"/>
    <w:rsid w:val="0001715E"/>
    <w:rsid w:val="00023883"/>
    <w:rsid w:val="00024A63"/>
    <w:rsid w:val="0002628C"/>
    <w:rsid w:val="0002645F"/>
    <w:rsid w:val="0003550A"/>
    <w:rsid w:val="00035DCB"/>
    <w:rsid w:val="00037171"/>
    <w:rsid w:val="00037EEC"/>
    <w:rsid w:val="00044159"/>
    <w:rsid w:val="00045906"/>
    <w:rsid w:val="00071DBE"/>
    <w:rsid w:val="000755B2"/>
    <w:rsid w:val="000810C7"/>
    <w:rsid w:val="000829B7"/>
    <w:rsid w:val="000842D7"/>
    <w:rsid w:val="000876B9"/>
    <w:rsid w:val="00091405"/>
    <w:rsid w:val="000938BC"/>
    <w:rsid w:val="00094E7B"/>
    <w:rsid w:val="00096FCC"/>
    <w:rsid w:val="000A0737"/>
    <w:rsid w:val="000A3668"/>
    <w:rsid w:val="000A375E"/>
    <w:rsid w:val="000A3FF7"/>
    <w:rsid w:val="000A60F1"/>
    <w:rsid w:val="000B1AE6"/>
    <w:rsid w:val="000B1BBF"/>
    <w:rsid w:val="000B2432"/>
    <w:rsid w:val="000C01B4"/>
    <w:rsid w:val="000C01FA"/>
    <w:rsid w:val="000C06CD"/>
    <w:rsid w:val="000C1439"/>
    <w:rsid w:val="000C1690"/>
    <w:rsid w:val="000C2538"/>
    <w:rsid w:val="000C42B3"/>
    <w:rsid w:val="000D21CA"/>
    <w:rsid w:val="000D35A1"/>
    <w:rsid w:val="000D3D04"/>
    <w:rsid w:val="000D42CA"/>
    <w:rsid w:val="000D513E"/>
    <w:rsid w:val="000D55A4"/>
    <w:rsid w:val="000E0C3B"/>
    <w:rsid w:val="000E36F1"/>
    <w:rsid w:val="000E4015"/>
    <w:rsid w:val="000E615F"/>
    <w:rsid w:val="000F10E0"/>
    <w:rsid w:val="000F2AF6"/>
    <w:rsid w:val="000F61B9"/>
    <w:rsid w:val="001010FD"/>
    <w:rsid w:val="001079AD"/>
    <w:rsid w:val="00107A6A"/>
    <w:rsid w:val="00110C58"/>
    <w:rsid w:val="0011270E"/>
    <w:rsid w:val="001210EF"/>
    <w:rsid w:val="00124576"/>
    <w:rsid w:val="00124EFA"/>
    <w:rsid w:val="001250B7"/>
    <w:rsid w:val="0012647C"/>
    <w:rsid w:val="001270BA"/>
    <w:rsid w:val="001304E3"/>
    <w:rsid w:val="00135F69"/>
    <w:rsid w:val="001503FE"/>
    <w:rsid w:val="00153E09"/>
    <w:rsid w:val="00161776"/>
    <w:rsid w:val="00161AA8"/>
    <w:rsid w:val="00162596"/>
    <w:rsid w:val="00163185"/>
    <w:rsid w:val="00163AD4"/>
    <w:rsid w:val="00165999"/>
    <w:rsid w:val="00166B57"/>
    <w:rsid w:val="00172FC2"/>
    <w:rsid w:val="00173D9F"/>
    <w:rsid w:val="00175D31"/>
    <w:rsid w:val="00175EF9"/>
    <w:rsid w:val="00177C01"/>
    <w:rsid w:val="00177C96"/>
    <w:rsid w:val="0018389F"/>
    <w:rsid w:val="00194855"/>
    <w:rsid w:val="00195641"/>
    <w:rsid w:val="001A01E6"/>
    <w:rsid w:val="001A6108"/>
    <w:rsid w:val="001A6ACC"/>
    <w:rsid w:val="001A6DD1"/>
    <w:rsid w:val="001B4351"/>
    <w:rsid w:val="001B45B1"/>
    <w:rsid w:val="001C0A50"/>
    <w:rsid w:val="001C3C68"/>
    <w:rsid w:val="001D22D1"/>
    <w:rsid w:val="001D5C72"/>
    <w:rsid w:val="001F2A15"/>
    <w:rsid w:val="001F4937"/>
    <w:rsid w:val="00211C11"/>
    <w:rsid w:val="002142CA"/>
    <w:rsid w:val="0022201B"/>
    <w:rsid w:val="00222EEF"/>
    <w:rsid w:val="00223085"/>
    <w:rsid w:val="0022475A"/>
    <w:rsid w:val="00230950"/>
    <w:rsid w:val="00232693"/>
    <w:rsid w:val="00233CAB"/>
    <w:rsid w:val="00235450"/>
    <w:rsid w:val="00236668"/>
    <w:rsid w:val="002374DA"/>
    <w:rsid w:val="00240BD2"/>
    <w:rsid w:val="002417AA"/>
    <w:rsid w:val="00242252"/>
    <w:rsid w:val="00245D46"/>
    <w:rsid w:val="00252732"/>
    <w:rsid w:val="002530F6"/>
    <w:rsid w:val="0025416F"/>
    <w:rsid w:val="00257B51"/>
    <w:rsid w:val="00262AB3"/>
    <w:rsid w:val="00271E4F"/>
    <w:rsid w:val="002750B1"/>
    <w:rsid w:val="0027592D"/>
    <w:rsid w:val="002803AB"/>
    <w:rsid w:val="00281DD2"/>
    <w:rsid w:val="0028315E"/>
    <w:rsid w:val="002831BD"/>
    <w:rsid w:val="00285E5B"/>
    <w:rsid w:val="002878A4"/>
    <w:rsid w:val="00292E73"/>
    <w:rsid w:val="00293B23"/>
    <w:rsid w:val="00296196"/>
    <w:rsid w:val="002A27D4"/>
    <w:rsid w:val="002A3E50"/>
    <w:rsid w:val="002A7370"/>
    <w:rsid w:val="002A73CD"/>
    <w:rsid w:val="002B2090"/>
    <w:rsid w:val="002B3729"/>
    <w:rsid w:val="002B4BD3"/>
    <w:rsid w:val="002B69C7"/>
    <w:rsid w:val="002C3B89"/>
    <w:rsid w:val="002C5B01"/>
    <w:rsid w:val="002C60F4"/>
    <w:rsid w:val="002D0152"/>
    <w:rsid w:val="002D09E9"/>
    <w:rsid w:val="002D63DB"/>
    <w:rsid w:val="002D7CCF"/>
    <w:rsid w:val="002E01F6"/>
    <w:rsid w:val="002E0F59"/>
    <w:rsid w:val="002E11AB"/>
    <w:rsid w:val="002E12B0"/>
    <w:rsid w:val="002E1E32"/>
    <w:rsid w:val="002E24E6"/>
    <w:rsid w:val="002E47A3"/>
    <w:rsid w:val="002E7A7A"/>
    <w:rsid w:val="002F0BD0"/>
    <w:rsid w:val="002F3B24"/>
    <w:rsid w:val="002F424C"/>
    <w:rsid w:val="00303B6D"/>
    <w:rsid w:val="00304B51"/>
    <w:rsid w:val="00322F22"/>
    <w:rsid w:val="0032520B"/>
    <w:rsid w:val="00332AFE"/>
    <w:rsid w:val="0033528B"/>
    <w:rsid w:val="00336B46"/>
    <w:rsid w:val="00356396"/>
    <w:rsid w:val="00356BE5"/>
    <w:rsid w:val="0036099F"/>
    <w:rsid w:val="0036135A"/>
    <w:rsid w:val="00362397"/>
    <w:rsid w:val="0036538E"/>
    <w:rsid w:val="00366B5F"/>
    <w:rsid w:val="003674D9"/>
    <w:rsid w:val="00374DEC"/>
    <w:rsid w:val="00376729"/>
    <w:rsid w:val="00376ADF"/>
    <w:rsid w:val="003770B0"/>
    <w:rsid w:val="00382255"/>
    <w:rsid w:val="0038340B"/>
    <w:rsid w:val="00383CDF"/>
    <w:rsid w:val="00384AC4"/>
    <w:rsid w:val="0038537B"/>
    <w:rsid w:val="00390038"/>
    <w:rsid w:val="003965C5"/>
    <w:rsid w:val="00397816"/>
    <w:rsid w:val="003A055E"/>
    <w:rsid w:val="003A0CA7"/>
    <w:rsid w:val="003A1D62"/>
    <w:rsid w:val="003A1F7C"/>
    <w:rsid w:val="003A4D24"/>
    <w:rsid w:val="003A5858"/>
    <w:rsid w:val="003B2D97"/>
    <w:rsid w:val="003C0FD0"/>
    <w:rsid w:val="003C1D65"/>
    <w:rsid w:val="003C3810"/>
    <w:rsid w:val="003D5181"/>
    <w:rsid w:val="003E1064"/>
    <w:rsid w:val="003E1BAC"/>
    <w:rsid w:val="003E513E"/>
    <w:rsid w:val="003E5D23"/>
    <w:rsid w:val="003E62A4"/>
    <w:rsid w:val="003E7D82"/>
    <w:rsid w:val="003F2623"/>
    <w:rsid w:val="003F35CE"/>
    <w:rsid w:val="003F42A8"/>
    <w:rsid w:val="003F622A"/>
    <w:rsid w:val="00402CF3"/>
    <w:rsid w:val="004038C1"/>
    <w:rsid w:val="00403D70"/>
    <w:rsid w:val="00405001"/>
    <w:rsid w:val="004105D3"/>
    <w:rsid w:val="004107CF"/>
    <w:rsid w:val="00411B75"/>
    <w:rsid w:val="00415341"/>
    <w:rsid w:val="00417300"/>
    <w:rsid w:val="004210C8"/>
    <w:rsid w:val="004247B2"/>
    <w:rsid w:val="004264C3"/>
    <w:rsid w:val="00427350"/>
    <w:rsid w:val="00430373"/>
    <w:rsid w:val="00433310"/>
    <w:rsid w:val="00436BA3"/>
    <w:rsid w:val="00437B6B"/>
    <w:rsid w:val="00441B06"/>
    <w:rsid w:val="00444A56"/>
    <w:rsid w:val="00452697"/>
    <w:rsid w:val="004536B5"/>
    <w:rsid w:val="004568BA"/>
    <w:rsid w:val="00456EE2"/>
    <w:rsid w:val="00463788"/>
    <w:rsid w:val="0047310F"/>
    <w:rsid w:val="0048116D"/>
    <w:rsid w:val="00481AF6"/>
    <w:rsid w:val="004828CA"/>
    <w:rsid w:val="004859AD"/>
    <w:rsid w:val="00486AAC"/>
    <w:rsid w:val="004935CC"/>
    <w:rsid w:val="004A41E4"/>
    <w:rsid w:val="004B1B04"/>
    <w:rsid w:val="004B240A"/>
    <w:rsid w:val="004B2498"/>
    <w:rsid w:val="004B5710"/>
    <w:rsid w:val="004B5F9C"/>
    <w:rsid w:val="004C2294"/>
    <w:rsid w:val="004C376A"/>
    <w:rsid w:val="004C62F4"/>
    <w:rsid w:val="004C64BF"/>
    <w:rsid w:val="004C7FAA"/>
    <w:rsid w:val="004D17A5"/>
    <w:rsid w:val="004D2574"/>
    <w:rsid w:val="004D3EF3"/>
    <w:rsid w:val="004D6DD4"/>
    <w:rsid w:val="004E47A5"/>
    <w:rsid w:val="004E4D78"/>
    <w:rsid w:val="004E6192"/>
    <w:rsid w:val="004E63D3"/>
    <w:rsid w:val="004E6498"/>
    <w:rsid w:val="004F2723"/>
    <w:rsid w:val="004F37C5"/>
    <w:rsid w:val="004F62AE"/>
    <w:rsid w:val="004F6F80"/>
    <w:rsid w:val="00500C78"/>
    <w:rsid w:val="00501FE6"/>
    <w:rsid w:val="005033AF"/>
    <w:rsid w:val="00504335"/>
    <w:rsid w:val="00512876"/>
    <w:rsid w:val="0051627E"/>
    <w:rsid w:val="00520916"/>
    <w:rsid w:val="0052342F"/>
    <w:rsid w:val="005257E1"/>
    <w:rsid w:val="00527C64"/>
    <w:rsid w:val="005323FF"/>
    <w:rsid w:val="005424FB"/>
    <w:rsid w:val="00542880"/>
    <w:rsid w:val="005442C1"/>
    <w:rsid w:val="00545EDC"/>
    <w:rsid w:val="00553963"/>
    <w:rsid w:val="005613CC"/>
    <w:rsid w:val="005633D5"/>
    <w:rsid w:val="00563E41"/>
    <w:rsid w:val="005826E2"/>
    <w:rsid w:val="00582C2B"/>
    <w:rsid w:val="00592892"/>
    <w:rsid w:val="00592D5A"/>
    <w:rsid w:val="005936EC"/>
    <w:rsid w:val="005941DD"/>
    <w:rsid w:val="00595337"/>
    <w:rsid w:val="005A2B3F"/>
    <w:rsid w:val="005A3056"/>
    <w:rsid w:val="005A7CF9"/>
    <w:rsid w:val="005B1593"/>
    <w:rsid w:val="005B1A65"/>
    <w:rsid w:val="005B4C20"/>
    <w:rsid w:val="005B6D27"/>
    <w:rsid w:val="005C35BF"/>
    <w:rsid w:val="005C3BBE"/>
    <w:rsid w:val="005C4215"/>
    <w:rsid w:val="005D6186"/>
    <w:rsid w:val="005D7887"/>
    <w:rsid w:val="005D7FE5"/>
    <w:rsid w:val="005E05D5"/>
    <w:rsid w:val="005E234F"/>
    <w:rsid w:val="005F769B"/>
    <w:rsid w:val="005F7B93"/>
    <w:rsid w:val="00603ACC"/>
    <w:rsid w:val="00622648"/>
    <w:rsid w:val="00626A49"/>
    <w:rsid w:val="00633BE3"/>
    <w:rsid w:val="00634F8E"/>
    <w:rsid w:val="0063667C"/>
    <w:rsid w:val="00640C9C"/>
    <w:rsid w:val="006433F7"/>
    <w:rsid w:val="00645499"/>
    <w:rsid w:val="00645D4F"/>
    <w:rsid w:val="00653348"/>
    <w:rsid w:val="006565FA"/>
    <w:rsid w:val="0065765D"/>
    <w:rsid w:val="006647A1"/>
    <w:rsid w:val="0066622B"/>
    <w:rsid w:val="00670F07"/>
    <w:rsid w:val="00671FE4"/>
    <w:rsid w:val="00672236"/>
    <w:rsid w:val="0067697D"/>
    <w:rsid w:val="0067754C"/>
    <w:rsid w:val="00683941"/>
    <w:rsid w:val="00683AAD"/>
    <w:rsid w:val="0068637E"/>
    <w:rsid w:val="006870C4"/>
    <w:rsid w:val="006879CA"/>
    <w:rsid w:val="0069006B"/>
    <w:rsid w:val="00693DC7"/>
    <w:rsid w:val="006A0145"/>
    <w:rsid w:val="006B5B84"/>
    <w:rsid w:val="006B5E1F"/>
    <w:rsid w:val="006C24E4"/>
    <w:rsid w:val="006C49BA"/>
    <w:rsid w:val="006C522A"/>
    <w:rsid w:val="006D303D"/>
    <w:rsid w:val="006D4933"/>
    <w:rsid w:val="006D69E8"/>
    <w:rsid w:val="006D7C6C"/>
    <w:rsid w:val="006E3342"/>
    <w:rsid w:val="006E7A7F"/>
    <w:rsid w:val="006F2789"/>
    <w:rsid w:val="006F54FC"/>
    <w:rsid w:val="006F67E1"/>
    <w:rsid w:val="00710AEA"/>
    <w:rsid w:val="00714CA7"/>
    <w:rsid w:val="00714E02"/>
    <w:rsid w:val="007244A0"/>
    <w:rsid w:val="00724544"/>
    <w:rsid w:val="00726ABE"/>
    <w:rsid w:val="00731D6B"/>
    <w:rsid w:val="007401FC"/>
    <w:rsid w:val="007444B4"/>
    <w:rsid w:val="00763ECC"/>
    <w:rsid w:val="00772167"/>
    <w:rsid w:val="00772220"/>
    <w:rsid w:val="00774992"/>
    <w:rsid w:val="00776D2D"/>
    <w:rsid w:val="007877A5"/>
    <w:rsid w:val="00797DCD"/>
    <w:rsid w:val="007A3DD9"/>
    <w:rsid w:val="007B5475"/>
    <w:rsid w:val="007B6869"/>
    <w:rsid w:val="007C3550"/>
    <w:rsid w:val="007D241B"/>
    <w:rsid w:val="007D2C8E"/>
    <w:rsid w:val="007D5A1A"/>
    <w:rsid w:val="007D6C20"/>
    <w:rsid w:val="007D7491"/>
    <w:rsid w:val="007E06CC"/>
    <w:rsid w:val="007E1162"/>
    <w:rsid w:val="007E220C"/>
    <w:rsid w:val="007E2AEE"/>
    <w:rsid w:val="007F0DA3"/>
    <w:rsid w:val="007F0DCF"/>
    <w:rsid w:val="007F1F26"/>
    <w:rsid w:val="007F4695"/>
    <w:rsid w:val="007F4E38"/>
    <w:rsid w:val="007F6492"/>
    <w:rsid w:val="007F7844"/>
    <w:rsid w:val="0080089B"/>
    <w:rsid w:val="00807144"/>
    <w:rsid w:val="008104DD"/>
    <w:rsid w:val="00811398"/>
    <w:rsid w:val="00815CB1"/>
    <w:rsid w:val="0081670A"/>
    <w:rsid w:val="00821F81"/>
    <w:rsid w:val="00822C23"/>
    <w:rsid w:val="00832898"/>
    <w:rsid w:val="00833252"/>
    <w:rsid w:val="00833C6A"/>
    <w:rsid w:val="00841982"/>
    <w:rsid w:val="008451D0"/>
    <w:rsid w:val="00845B61"/>
    <w:rsid w:val="00847229"/>
    <w:rsid w:val="0085303F"/>
    <w:rsid w:val="00853B5A"/>
    <w:rsid w:val="00854259"/>
    <w:rsid w:val="00854A85"/>
    <w:rsid w:val="00854D17"/>
    <w:rsid w:val="008555AA"/>
    <w:rsid w:val="0085672A"/>
    <w:rsid w:val="00861B85"/>
    <w:rsid w:val="0086266C"/>
    <w:rsid w:val="008632B6"/>
    <w:rsid w:val="0086396D"/>
    <w:rsid w:val="00866727"/>
    <w:rsid w:val="00867625"/>
    <w:rsid w:val="00871BD4"/>
    <w:rsid w:val="00871D3E"/>
    <w:rsid w:val="00872372"/>
    <w:rsid w:val="0087250D"/>
    <w:rsid w:val="00877287"/>
    <w:rsid w:val="00877A6B"/>
    <w:rsid w:val="0088660F"/>
    <w:rsid w:val="00893AAF"/>
    <w:rsid w:val="00895243"/>
    <w:rsid w:val="008A02F4"/>
    <w:rsid w:val="008A4C00"/>
    <w:rsid w:val="008A543C"/>
    <w:rsid w:val="008A5CCB"/>
    <w:rsid w:val="008A6D93"/>
    <w:rsid w:val="008A7199"/>
    <w:rsid w:val="008B5296"/>
    <w:rsid w:val="008B5ABE"/>
    <w:rsid w:val="008B6EF1"/>
    <w:rsid w:val="008C5886"/>
    <w:rsid w:val="008C7113"/>
    <w:rsid w:val="008D1411"/>
    <w:rsid w:val="008D14D1"/>
    <w:rsid w:val="008D4987"/>
    <w:rsid w:val="008D72CF"/>
    <w:rsid w:val="008E1E9C"/>
    <w:rsid w:val="008E25E0"/>
    <w:rsid w:val="008E327F"/>
    <w:rsid w:val="008E32ED"/>
    <w:rsid w:val="008E51B3"/>
    <w:rsid w:val="008E7A8D"/>
    <w:rsid w:val="008F1C90"/>
    <w:rsid w:val="008F2520"/>
    <w:rsid w:val="008F58E6"/>
    <w:rsid w:val="008F7037"/>
    <w:rsid w:val="00905DBB"/>
    <w:rsid w:val="00911EB4"/>
    <w:rsid w:val="009126E9"/>
    <w:rsid w:val="00912E06"/>
    <w:rsid w:val="0091629E"/>
    <w:rsid w:val="00916E14"/>
    <w:rsid w:val="009239B6"/>
    <w:rsid w:val="0093578A"/>
    <w:rsid w:val="009379FC"/>
    <w:rsid w:val="009445D4"/>
    <w:rsid w:val="00945712"/>
    <w:rsid w:val="00947FAF"/>
    <w:rsid w:val="00950099"/>
    <w:rsid w:val="0095543F"/>
    <w:rsid w:val="00957850"/>
    <w:rsid w:val="00961E04"/>
    <w:rsid w:val="009650A5"/>
    <w:rsid w:val="00967036"/>
    <w:rsid w:val="009819D4"/>
    <w:rsid w:val="00983304"/>
    <w:rsid w:val="00984C28"/>
    <w:rsid w:val="00984E1F"/>
    <w:rsid w:val="009937CE"/>
    <w:rsid w:val="0099747F"/>
    <w:rsid w:val="00997BCC"/>
    <w:rsid w:val="009A4C06"/>
    <w:rsid w:val="009B0A02"/>
    <w:rsid w:val="009B3B89"/>
    <w:rsid w:val="009B565A"/>
    <w:rsid w:val="009B795E"/>
    <w:rsid w:val="009B7F6E"/>
    <w:rsid w:val="009C4869"/>
    <w:rsid w:val="009C4F8A"/>
    <w:rsid w:val="009C5A97"/>
    <w:rsid w:val="009C7285"/>
    <w:rsid w:val="009C7872"/>
    <w:rsid w:val="009D1E2E"/>
    <w:rsid w:val="009D47BE"/>
    <w:rsid w:val="009E0ACB"/>
    <w:rsid w:val="009E1D18"/>
    <w:rsid w:val="009E2568"/>
    <w:rsid w:val="009F3743"/>
    <w:rsid w:val="009F4125"/>
    <w:rsid w:val="009F4C97"/>
    <w:rsid w:val="009F75DF"/>
    <w:rsid w:val="00A00934"/>
    <w:rsid w:val="00A01489"/>
    <w:rsid w:val="00A02A02"/>
    <w:rsid w:val="00A02EB7"/>
    <w:rsid w:val="00A03187"/>
    <w:rsid w:val="00A110A1"/>
    <w:rsid w:val="00A13C97"/>
    <w:rsid w:val="00A154CE"/>
    <w:rsid w:val="00A20004"/>
    <w:rsid w:val="00A222CE"/>
    <w:rsid w:val="00A24FD4"/>
    <w:rsid w:val="00A27F49"/>
    <w:rsid w:val="00A42036"/>
    <w:rsid w:val="00A471DE"/>
    <w:rsid w:val="00A47A92"/>
    <w:rsid w:val="00A54944"/>
    <w:rsid w:val="00A55A73"/>
    <w:rsid w:val="00A566EB"/>
    <w:rsid w:val="00A57028"/>
    <w:rsid w:val="00A607F5"/>
    <w:rsid w:val="00A636F1"/>
    <w:rsid w:val="00A63A64"/>
    <w:rsid w:val="00A64931"/>
    <w:rsid w:val="00A754EF"/>
    <w:rsid w:val="00A77B61"/>
    <w:rsid w:val="00A80EC9"/>
    <w:rsid w:val="00A817C3"/>
    <w:rsid w:val="00A900DC"/>
    <w:rsid w:val="00A9693B"/>
    <w:rsid w:val="00A975BD"/>
    <w:rsid w:val="00AA3C5C"/>
    <w:rsid w:val="00AB2BFE"/>
    <w:rsid w:val="00AB5CBB"/>
    <w:rsid w:val="00AB76EA"/>
    <w:rsid w:val="00AC6438"/>
    <w:rsid w:val="00AD0509"/>
    <w:rsid w:val="00AD0B13"/>
    <w:rsid w:val="00AD1EC0"/>
    <w:rsid w:val="00AD6923"/>
    <w:rsid w:val="00AD770D"/>
    <w:rsid w:val="00AE2E20"/>
    <w:rsid w:val="00AF042E"/>
    <w:rsid w:val="00AF1A8C"/>
    <w:rsid w:val="00AF491A"/>
    <w:rsid w:val="00AF4F28"/>
    <w:rsid w:val="00B02465"/>
    <w:rsid w:val="00B04046"/>
    <w:rsid w:val="00B041BC"/>
    <w:rsid w:val="00B05820"/>
    <w:rsid w:val="00B06405"/>
    <w:rsid w:val="00B1210B"/>
    <w:rsid w:val="00B2436A"/>
    <w:rsid w:val="00B25166"/>
    <w:rsid w:val="00B26A74"/>
    <w:rsid w:val="00B27A2A"/>
    <w:rsid w:val="00B32D99"/>
    <w:rsid w:val="00B333B9"/>
    <w:rsid w:val="00B34467"/>
    <w:rsid w:val="00B40F41"/>
    <w:rsid w:val="00B43887"/>
    <w:rsid w:val="00B44EB8"/>
    <w:rsid w:val="00B56013"/>
    <w:rsid w:val="00B560C3"/>
    <w:rsid w:val="00B57EBB"/>
    <w:rsid w:val="00B63656"/>
    <w:rsid w:val="00B7027F"/>
    <w:rsid w:val="00B71FE3"/>
    <w:rsid w:val="00B75C06"/>
    <w:rsid w:val="00B76777"/>
    <w:rsid w:val="00B777F0"/>
    <w:rsid w:val="00B77A46"/>
    <w:rsid w:val="00B95CD4"/>
    <w:rsid w:val="00BA6BB0"/>
    <w:rsid w:val="00BB1761"/>
    <w:rsid w:val="00BB656E"/>
    <w:rsid w:val="00BC2C26"/>
    <w:rsid w:val="00BC44DD"/>
    <w:rsid w:val="00BC4CA5"/>
    <w:rsid w:val="00BD091D"/>
    <w:rsid w:val="00BD2B78"/>
    <w:rsid w:val="00BD5D10"/>
    <w:rsid w:val="00BD6203"/>
    <w:rsid w:val="00BD6CF2"/>
    <w:rsid w:val="00BE4671"/>
    <w:rsid w:val="00BF3356"/>
    <w:rsid w:val="00BF34E2"/>
    <w:rsid w:val="00BF3874"/>
    <w:rsid w:val="00BF5084"/>
    <w:rsid w:val="00C1385F"/>
    <w:rsid w:val="00C14761"/>
    <w:rsid w:val="00C1580A"/>
    <w:rsid w:val="00C17B66"/>
    <w:rsid w:val="00C17E5D"/>
    <w:rsid w:val="00C27BEA"/>
    <w:rsid w:val="00C32336"/>
    <w:rsid w:val="00C32522"/>
    <w:rsid w:val="00C433F3"/>
    <w:rsid w:val="00C472D6"/>
    <w:rsid w:val="00C51E61"/>
    <w:rsid w:val="00C5691D"/>
    <w:rsid w:val="00C634C2"/>
    <w:rsid w:val="00C63C3D"/>
    <w:rsid w:val="00C678DC"/>
    <w:rsid w:val="00C7294F"/>
    <w:rsid w:val="00C72DF6"/>
    <w:rsid w:val="00C74B83"/>
    <w:rsid w:val="00C808BA"/>
    <w:rsid w:val="00C85FF6"/>
    <w:rsid w:val="00C92C6A"/>
    <w:rsid w:val="00CA0CAA"/>
    <w:rsid w:val="00CA46D6"/>
    <w:rsid w:val="00CA49EA"/>
    <w:rsid w:val="00CA4FD5"/>
    <w:rsid w:val="00CA5745"/>
    <w:rsid w:val="00CA7169"/>
    <w:rsid w:val="00CB1E42"/>
    <w:rsid w:val="00CB7577"/>
    <w:rsid w:val="00CC38EE"/>
    <w:rsid w:val="00CC3A18"/>
    <w:rsid w:val="00CC3C71"/>
    <w:rsid w:val="00CC570B"/>
    <w:rsid w:val="00CD15C4"/>
    <w:rsid w:val="00CD26A2"/>
    <w:rsid w:val="00CE015E"/>
    <w:rsid w:val="00CE1140"/>
    <w:rsid w:val="00CE43EC"/>
    <w:rsid w:val="00CE475F"/>
    <w:rsid w:val="00CF620A"/>
    <w:rsid w:val="00D052E7"/>
    <w:rsid w:val="00D07D4A"/>
    <w:rsid w:val="00D10929"/>
    <w:rsid w:val="00D150A2"/>
    <w:rsid w:val="00D165BE"/>
    <w:rsid w:val="00D16F61"/>
    <w:rsid w:val="00D175CC"/>
    <w:rsid w:val="00D21A9B"/>
    <w:rsid w:val="00D22F29"/>
    <w:rsid w:val="00D2524F"/>
    <w:rsid w:val="00D27D86"/>
    <w:rsid w:val="00D30864"/>
    <w:rsid w:val="00D34827"/>
    <w:rsid w:val="00D34AF6"/>
    <w:rsid w:val="00D35ADB"/>
    <w:rsid w:val="00D428DD"/>
    <w:rsid w:val="00D4325A"/>
    <w:rsid w:val="00D54C17"/>
    <w:rsid w:val="00D65680"/>
    <w:rsid w:val="00D81B88"/>
    <w:rsid w:val="00D90085"/>
    <w:rsid w:val="00D92829"/>
    <w:rsid w:val="00D96260"/>
    <w:rsid w:val="00DA1876"/>
    <w:rsid w:val="00DA1F34"/>
    <w:rsid w:val="00DA22A5"/>
    <w:rsid w:val="00DA4661"/>
    <w:rsid w:val="00DB07E1"/>
    <w:rsid w:val="00DB121D"/>
    <w:rsid w:val="00DB12B3"/>
    <w:rsid w:val="00DB3D89"/>
    <w:rsid w:val="00DB5560"/>
    <w:rsid w:val="00DC574F"/>
    <w:rsid w:val="00DC6E8D"/>
    <w:rsid w:val="00DC795E"/>
    <w:rsid w:val="00DD1A1F"/>
    <w:rsid w:val="00DE2403"/>
    <w:rsid w:val="00DE4CA9"/>
    <w:rsid w:val="00DF7E86"/>
    <w:rsid w:val="00E049ED"/>
    <w:rsid w:val="00E06DE3"/>
    <w:rsid w:val="00E077A2"/>
    <w:rsid w:val="00E101AC"/>
    <w:rsid w:val="00E230BF"/>
    <w:rsid w:val="00E24222"/>
    <w:rsid w:val="00E27704"/>
    <w:rsid w:val="00E302DE"/>
    <w:rsid w:val="00E3047D"/>
    <w:rsid w:val="00E322F0"/>
    <w:rsid w:val="00E32D81"/>
    <w:rsid w:val="00E32F75"/>
    <w:rsid w:val="00E369D3"/>
    <w:rsid w:val="00E42BC2"/>
    <w:rsid w:val="00E4339E"/>
    <w:rsid w:val="00E47BC1"/>
    <w:rsid w:val="00E6096B"/>
    <w:rsid w:val="00E627F0"/>
    <w:rsid w:val="00E71AD2"/>
    <w:rsid w:val="00E759FE"/>
    <w:rsid w:val="00E81A18"/>
    <w:rsid w:val="00E84F52"/>
    <w:rsid w:val="00E87027"/>
    <w:rsid w:val="00EA0A4C"/>
    <w:rsid w:val="00EA4565"/>
    <w:rsid w:val="00EA6C77"/>
    <w:rsid w:val="00EA6F5B"/>
    <w:rsid w:val="00EC2DEE"/>
    <w:rsid w:val="00EC644C"/>
    <w:rsid w:val="00ED3197"/>
    <w:rsid w:val="00ED4D90"/>
    <w:rsid w:val="00ED67CA"/>
    <w:rsid w:val="00EF264F"/>
    <w:rsid w:val="00EF29F8"/>
    <w:rsid w:val="00EF4198"/>
    <w:rsid w:val="00F02531"/>
    <w:rsid w:val="00F033BF"/>
    <w:rsid w:val="00F03CEA"/>
    <w:rsid w:val="00F0762A"/>
    <w:rsid w:val="00F1063F"/>
    <w:rsid w:val="00F10912"/>
    <w:rsid w:val="00F11229"/>
    <w:rsid w:val="00F118B0"/>
    <w:rsid w:val="00F13462"/>
    <w:rsid w:val="00F15EB7"/>
    <w:rsid w:val="00F172CE"/>
    <w:rsid w:val="00F20B40"/>
    <w:rsid w:val="00F2236D"/>
    <w:rsid w:val="00F23EBF"/>
    <w:rsid w:val="00F24CFF"/>
    <w:rsid w:val="00F26842"/>
    <w:rsid w:val="00F26F2D"/>
    <w:rsid w:val="00F36B5C"/>
    <w:rsid w:val="00F37066"/>
    <w:rsid w:val="00F413FB"/>
    <w:rsid w:val="00F510C5"/>
    <w:rsid w:val="00F51E59"/>
    <w:rsid w:val="00F5380E"/>
    <w:rsid w:val="00F572A3"/>
    <w:rsid w:val="00F57E20"/>
    <w:rsid w:val="00F6188D"/>
    <w:rsid w:val="00F61910"/>
    <w:rsid w:val="00F66AB0"/>
    <w:rsid w:val="00F710A7"/>
    <w:rsid w:val="00F7267E"/>
    <w:rsid w:val="00F75A17"/>
    <w:rsid w:val="00F8336A"/>
    <w:rsid w:val="00F84D89"/>
    <w:rsid w:val="00F85BDD"/>
    <w:rsid w:val="00F85E22"/>
    <w:rsid w:val="00F862C4"/>
    <w:rsid w:val="00F86A21"/>
    <w:rsid w:val="00F9156F"/>
    <w:rsid w:val="00FA2268"/>
    <w:rsid w:val="00FA2984"/>
    <w:rsid w:val="00FA69A3"/>
    <w:rsid w:val="00FB0E94"/>
    <w:rsid w:val="00FB388E"/>
    <w:rsid w:val="00FB62B5"/>
    <w:rsid w:val="00FC1307"/>
    <w:rsid w:val="00FC4A53"/>
    <w:rsid w:val="00FD30B1"/>
    <w:rsid w:val="00FD347F"/>
    <w:rsid w:val="00FD547B"/>
    <w:rsid w:val="00FD578E"/>
    <w:rsid w:val="00FD71E9"/>
    <w:rsid w:val="00FD76F1"/>
    <w:rsid w:val="00FE36D4"/>
    <w:rsid w:val="00FE3BAE"/>
    <w:rsid w:val="00FE47D4"/>
    <w:rsid w:val="00FE4D8E"/>
    <w:rsid w:val="00FF1078"/>
    <w:rsid w:val="00FF5958"/>
    <w:rsid w:val="00FF6B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075AF-A8C3-4273-94AA-A192662F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04"/>
  </w:style>
  <w:style w:type="paragraph" w:styleId="Overskrift1">
    <w:name w:val="heading 1"/>
    <w:basedOn w:val="Normal"/>
    <w:next w:val="Brdtekst"/>
    <w:link w:val="Overskrift1Tegn"/>
    <w:uiPriority w:val="9"/>
    <w:qFormat/>
    <w:rsid w:val="006565FA"/>
    <w:pPr>
      <w:keepNext/>
      <w:spacing w:after="0" w:line="280" w:lineRule="exact"/>
      <w:outlineLvl w:val="0"/>
    </w:pPr>
    <w:rPr>
      <w:rFonts w:ascii="Times New Roman" w:eastAsia="Times New Roman" w:hAnsi="Times New Roman" w:cs="Times New Roman"/>
      <w:b/>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81B8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1B88"/>
    <w:rPr>
      <w:rFonts w:ascii="Tahoma" w:hAnsi="Tahoma" w:cs="Tahoma"/>
      <w:sz w:val="16"/>
      <w:szCs w:val="16"/>
    </w:rPr>
  </w:style>
  <w:style w:type="paragraph" w:styleId="Sidehoved">
    <w:name w:val="header"/>
    <w:basedOn w:val="Normal"/>
    <w:link w:val="SidehovedTegn"/>
    <w:uiPriority w:val="99"/>
    <w:unhideWhenUsed/>
    <w:rsid w:val="00D81B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1B88"/>
  </w:style>
  <w:style w:type="paragraph" w:styleId="Sidefod">
    <w:name w:val="footer"/>
    <w:basedOn w:val="Normal"/>
    <w:link w:val="SidefodTegn"/>
    <w:uiPriority w:val="99"/>
    <w:unhideWhenUsed/>
    <w:rsid w:val="00D81B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1B88"/>
  </w:style>
  <w:style w:type="character" w:styleId="Hyperlink">
    <w:name w:val="Hyperlink"/>
    <w:basedOn w:val="Standardskrifttypeiafsnit"/>
    <w:uiPriority w:val="99"/>
    <w:unhideWhenUsed/>
    <w:rsid w:val="009B0A02"/>
    <w:rPr>
      <w:color w:val="0000FF" w:themeColor="hyperlink"/>
      <w:u w:val="single"/>
    </w:rPr>
  </w:style>
  <w:style w:type="paragraph" w:styleId="Listeafsnit">
    <w:name w:val="List Paragraph"/>
    <w:basedOn w:val="Normal"/>
    <w:uiPriority w:val="34"/>
    <w:qFormat/>
    <w:rsid w:val="00811398"/>
    <w:pPr>
      <w:ind w:left="720"/>
      <w:contextualSpacing/>
    </w:pPr>
    <w:rPr>
      <w:rFonts w:eastAsiaTheme="minorHAnsi"/>
      <w:lang w:eastAsia="en-US"/>
    </w:rPr>
  </w:style>
  <w:style w:type="paragraph" w:styleId="Almindeligtekst">
    <w:name w:val="Plain Text"/>
    <w:basedOn w:val="Normal"/>
    <w:link w:val="AlmindeligtekstTegn"/>
    <w:uiPriority w:val="99"/>
    <w:unhideWhenUsed/>
    <w:rsid w:val="00D27D86"/>
    <w:pPr>
      <w:spacing w:after="0" w:line="240" w:lineRule="auto"/>
    </w:pPr>
    <w:rPr>
      <w:rFonts w:ascii="Consolas" w:eastAsiaTheme="minorHAnsi" w:hAnsi="Consolas"/>
      <w:sz w:val="21"/>
      <w:szCs w:val="21"/>
      <w:lang w:eastAsia="en-US"/>
    </w:rPr>
  </w:style>
  <w:style w:type="character" w:customStyle="1" w:styleId="AlmindeligtekstTegn">
    <w:name w:val="Almindelig tekst Tegn"/>
    <w:basedOn w:val="Standardskrifttypeiafsnit"/>
    <w:link w:val="Almindeligtekst"/>
    <w:uiPriority w:val="99"/>
    <w:rsid w:val="00D27D86"/>
    <w:rPr>
      <w:rFonts w:ascii="Consolas" w:eastAsiaTheme="minorHAnsi" w:hAnsi="Consolas"/>
      <w:sz w:val="21"/>
      <w:szCs w:val="21"/>
      <w:lang w:eastAsia="en-US"/>
    </w:rPr>
  </w:style>
  <w:style w:type="paragraph" w:customStyle="1" w:styleId="Enhed">
    <w:name w:val="Enhed"/>
    <w:basedOn w:val="Normal"/>
    <w:rsid w:val="007401FC"/>
    <w:pPr>
      <w:framePr w:h="454" w:hRule="exact" w:wrap="around" w:vAnchor="page" w:hAnchor="page" w:x="9186" w:y="1702"/>
      <w:spacing w:after="0" w:line="280" w:lineRule="exact"/>
    </w:pPr>
    <w:rPr>
      <w:rFonts w:ascii="Arial" w:eastAsia="Times New Roman" w:hAnsi="Arial" w:cs="Times New Roman"/>
      <w:b/>
      <w:caps/>
      <w:sz w:val="15"/>
      <w:szCs w:val="20"/>
    </w:rPr>
  </w:style>
  <w:style w:type="paragraph" w:styleId="Brdtekst">
    <w:name w:val="Body Text"/>
    <w:aliases w:val="Brødtekst Tegn1,Brødtekst Tegn2 Tegn,Brødtekst Tegn1 Tegn Tegn,Brødtekst Tegn Tegn Tegn Tegn,Brødtekst Tegn1 Tegn Tegn Tegn Tegn,Brødtekst Tegn Tegn Tegn Tegn Tegn Tegn,Brødtekst Tegn Tegn1 Tegn Tegn,Brødtekst Tegn1 Tegn1 Tegn,("/>
    <w:basedOn w:val="Normal"/>
    <w:link w:val="BrdtekstTegn2"/>
    <w:rsid w:val="007401FC"/>
    <w:pPr>
      <w:spacing w:after="0" w:line="280" w:lineRule="exact"/>
      <w:jc w:val="both"/>
    </w:pPr>
    <w:rPr>
      <w:rFonts w:ascii="Times New Roman" w:eastAsia="Times New Roman" w:hAnsi="Times New Roman" w:cs="Times New Roman"/>
      <w:sz w:val="24"/>
      <w:szCs w:val="20"/>
    </w:rPr>
  </w:style>
  <w:style w:type="character" w:customStyle="1" w:styleId="BrdtekstTegn">
    <w:name w:val="Brødtekst Tegn"/>
    <w:basedOn w:val="Standardskrifttypeiafsnit"/>
    <w:uiPriority w:val="99"/>
    <w:semiHidden/>
    <w:rsid w:val="007401FC"/>
  </w:style>
  <w:style w:type="character" w:customStyle="1" w:styleId="BrdtekstTegn2">
    <w:name w:val="Brødtekst Tegn2"/>
    <w:aliases w:val="Brødtekst Tegn1 Tegn,Brødtekst Tegn2 Tegn Tegn,Brødtekst Tegn1 Tegn Tegn Tegn,Brødtekst Tegn Tegn Tegn Tegn Tegn,Brødtekst Tegn1 Tegn Tegn Tegn Tegn Tegn,Brødtekst Tegn Tegn Tegn Tegn Tegn Tegn Tegn,Brødtekst Tegn Tegn1 Tegn Tegn Tegn"/>
    <w:link w:val="Brdtekst"/>
    <w:locked/>
    <w:rsid w:val="007401FC"/>
    <w:rPr>
      <w:rFonts w:ascii="Times New Roman" w:eastAsia="Times New Roman" w:hAnsi="Times New Roman" w:cs="Times New Roman"/>
      <w:sz w:val="24"/>
      <w:szCs w:val="20"/>
    </w:rPr>
  </w:style>
  <w:style w:type="character" w:customStyle="1" w:styleId="Overskrift1Tegn">
    <w:name w:val="Overskrift 1 Tegn"/>
    <w:basedOn w:val="Standardskrifttypeiafsnit"/>
    <w:link w:val="Overskrift1"/>
    <w:uiPriority w:val="9"/>
    <w:rsid w:val="006565FA"/>
    <w:rPr>
      <w:rFonts w:ascii="Times New Roman" w:eastAsia="Times New Roman" w:hAnsi="Times New Roman" w:cs="Times New Roman"/>
      <w:b/>
      <w:sz w:val="24"/>
      <w:szCs w:val="20"/>
    </w:rPr>
  </w:style>
  <w:style w:type="paragraph" w:styleId="Ingenafstand">
    <w:name w:val="No Spacing"/>
    <w:uiPriority w:val="99"/>
    <w:qFormat/>
    <w:rsid w:val="006565FA"/>
    <w:pPr>
      <w:spacing w:after="0" w:line="240" w:lineRule="auto"/>
    </w:pPr>
    <w:rPr>
      <w:rFonts w:ascii="Times New Roman" w:eastAsia="Times New Roman" w:hAnsi="Times New Roman" w:cs="Times New Roman"/>
      <w:sz w:val="24"/>
      <w:szCs w:val="20"/>
    </w:rPr>
  </w:style>
  <w:style w:type="character" w:styleId="Kommentarhenvisning">
    <w:name w:val="annotation reference"/>
    <w:basedOn w:val="Standardskrifttypeiafsnit"/>
    <w:uiPriority w:val="99"/>
    <w:semiHidden/>
    <w:unhideWhenUsed/>
    <w:rsid w:val="009E0ACB"/>
    <w:rPr>
      <w:sz w:val="16"/>
      <w:szCs w:val="16"/>
    </w:rPr>
  </w:style>
  <w:style w:type="paragraph" w:styleId="Kommentartekst">
    <w:name w:val="annotation text"/>
    <w:basedOn w:val="Normal"/>
    <w:link w:val="KommentartekstTegn"/>
    <w:uiPriority w:val="99"/>
    <w:semiHidden/>
    <w:unhideWhenUsed/>
    <w:rsid w:val="009E0A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E0ACB"/>
    <w:rPr>
      <w:sz w:val="20"/>
      <w:szCs w:val="20"/>
    </w:rPr>
  </w:style>
  <w:style w:type="paragraph" w:styleId="Kommentaremne">
    <w:name w:val="annotation subject"/>
    <w:basedOn w:val="Kommentartekst"/>
    <w:next w:val="Kommentartekst"/>
    <w:link w:val="KommentaremneTegn"/>
    <w:uiPriority w:val="99"/>
    <w:semiHidden/>
    <w:unhideWhenUsed/>
    <w:rsid w:val="009E0ACB"/>
    <w:rPr>
      <w:b/>
      <w:bCs/>
    </w:rPr>
  </w:style>
  <w:style w:type="character" w:customStyle="1" w:styleId="KommentaremneTegn">
    <w:name w:val="Kommentaremne Tegn"/>
    <w:basedOn w:val="KommentartekstTegn"/>
    <w:link w:val="Kommentaremne"/>
    <w:uiPriority w:val="99"/>
    <w:semiHidden/>
    <w:rsid w:val="009E0ACB"/>
    <w:rPr>
      <w:b/>
      <w:bCs/>
      <w:sz w:val="20"/>
      <w:szCs w:val="20"/>
    </w:rPr>
  </w:style>
  <w:style w:type="table" w:styleId="Tabel-Gitter">
    <w:name w:val="Table Grid"/>
    <w:basedOn w:val="Tabel-Normal"/>
    <w:uiPriority w:val="59"/>
    <w:rsid w:val="00173D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F3874"/>
    <w:pPr>
      <w:autoSpaceDE w:val="0"/>
      <w:autoSpaceDN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893AAF"/>
    <w:pPr>
      <w:spacing w:after="0" w:line="240" w:lineRule="auto"/>
    </w:pPr>
    <w:rPr>
      <w:rFonts w:ascii="Times New Roman" w:eastAsiaTheme="minorHAnsi" w:hAnsi="Times New Roman" w:cs="Times New Roman"/>
      <w:sz w:val="24"/>
      <w:szCs w:val="24"/>
    </w:rPr>
  </w:style>
  <w:style w:type="paragraph" w:styleId="Korrektur">
    <w:name w:val="Revision"/>
    <w:hidden/>
    <w:uiPriority w:val="99"/>
    <w:semiHidden/>
    <w:rsid w:val="0088660F"/>
    <w:pPr>
      <w:spacing w:after="0" w:line="240" w:lineRule="auto"/>
    </w:pPr>
  </w:style>
  <w:style w:type="paragraph" w:styleId="Slutnotetekst">
    <w:name w:val="endnote text"/>
    <w:basedOn w:val="Normal"/>
    <w:link w:val="SlutnotetekstTegn"/>
    <w:uiPriority w:val="99"/>
    <w:semiHidden/>
    <w:unhideWhenUsed/>
    <w:rsid w:val="0095009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50099"/>
    <w:rPr>
      <w:sz w:val="20"/>
      <w:szCs w:val="20"/>
    </w:rPr>
  </w:style>
  <w:style w:type="character" w:styleId="Slutnotehenvisning">
    <w:name w:val="endnote reference"/>
    <w:basedOn w:val="Standardskrifttypeiafsnit"/>
    <w:uiPriority w:val="99"/>
    <w:semiHidden/>
    <w:unhideWhenUsed/>
    <w:rsid w:val="00950099"/>
    <w:rPr>
      <w:vertAlign w:val="superscript"/>
    </w:rPr>
  </w:style>
  <w:style w:type="paragraph" w:styleId="Fodnotetekst">
    <w:name w:val="footnote text"/>
    <w:basedOn w:val="Normal"/>
    <w:link w:val="FodnotetekstTegn"/>
    <w:uiPriority w:val="99"/>
    <w:semiHidden/>
    <w:unhideWhenUsed/>
    <w:rsid w:val="0095009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50099"/>
    <w:rPr>
      <w:sz w:val="20"/>
      <w:szCs w:val="20"/>
    </w:rPr>
  </w:style>
  <w:style w:type="character" w:styleId="Fodnotehenvisning">
    <w:name w:val="footnote reference"/>
    <w:basedOn w:val="Standardskrifttypeiafsnit"/>
    <w:uiPriority w:val="99"/>
    <w:semiHidden/>
    <w:unhideWhenUsed/>
    <w:rsid w:val="00950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2114">
      <w:bodyDiv w:val="1"/>
      <w:marLeft w:val="0"/>
      <w:marRight w:val="0"/>
      <w:marTop w:val="0"/>
      <w:marBottom w:val="0"/>
      <w:divBdr>
        <w:top w:val="none" w:sz="0" w:space="0" w:color="auto"/>
        <w:left w:val="none" w:sz="0" w:space="0" w:color="auto"/>
        <w:bottom w:val="none" w:sz="0" w:space="0" w:color="auto"/>
        <w:right w:val="none" w:sz="0" w:space="0" w:color="auto"/>
      </w:divBdr>
    </w:div>
    <w:div w:id="261645496">
      <w:bodyDiv w:val="1"/>
      <w:marLeft w:val="0"/>
      <w:marRight w:val="0"/>
      <w:marTop w:val="0"/>
      <w:marBottom w:val="0"/>
      <w:divBdr>
        <w:top w:val="none" w:sz="0" w:space="0" w:color="auto"/>
        <w:left w:val="none" w:sz="0" w:space="0" w:color="auto"/>
        <w:bottom w:val="none" w:sz="0" w:space="0" w:color="auto"/>
        <w:right w:val="none" w:sz="0" w:space="0" w:color="auto"/>
      </w:divBdr>
    </w:div>
    <w:div w:id="349256550">
      <w:bodyDiv w:val="1"/>
      <w:marLeft w:val="0"/>
      <w:marRight w:val="0"/>
      <w:marTop w:val="0"/>
      <w:marBottom w:val="0"/>
      <w:divBdr>
        <w:top w:val="none" w:sz="0" w:space="0" w:color="auto"/>
        <w:left w:val="none" w:sz="0" w:space="0" w:color="auto"/>
        <w:bottom w:val="none" w:sz="0" w:space="0" w:color="auto"/>
        <w:right w:val="none" w:sz="0" w:space="0" w:color="auto"/>
      </w:divBdr>
    </w:div>
    <w:div w:id="642588648">
      <w:bodyDiv w:val="1"/>
      <w:marLeft w:val="0"/>
      <w:marRight w:val="0"/>
      <w:marTop w:val="0"/>
      <w:marBottom w:val="0"/>
      <w:divBdr>
        <w:top w:val="none" w:sz="0" w:space="0" w:color="auto"/>
        <w:left w:val="none" w:sz="0" w:space="0" w:color="auto"/>
        <w:bottom w:val="none" w:sz="0" w:space="0" w:color="auto"/>
        <w:right w:val="none" w:sz="0" w:space="0" w:color="auto"/>
      </w:divBdr>
    </w:div>
    <w:div w:id="653989752">
      <w:bodyDiv w:val="1"/>
      <w:marLeft w:val="0"/>
      <w:marRight w:val="0"/>
      <w:marTop w:val="0"/>
      <w:marBottom w:val="0"/>
      <w:divBdr>
        <w:top w:val="none" w:sz="0" w:space="0" w:color="auto"/>
        <w:left w:val="none" w:sz="0" w:space="0" w:color="auto"/>
        <w:bottom w:val="none" w:sz="0" w:space="0" w:color="auto"/>
        <w:right w:val="none" w:sz="0" w:space="0" w:color="auto"/>
      </w:divBdr>
    </w:div>
    <w:div w:id="824668932">
      <w:bodyDiv w:val="1"/>
      <w:marLeft w:val="0"/>
      <w:marRight w:val="0"/>
      <w:marTop w:val="0"/>
      <w:marBottom w:val="0"/>
      <w:divBdr>
        <w:top w:val="none" w:sz="0" w:space="0" w:color="auto"/>
        <w:left w:val="none" w:sz="0" w:space="0" w:color="auto"/>
        <w:bottom w:val="none" w:sz="0" w:space="0" w:color="auto"/>
        <w:right w:val="none" w:sz="0" w:space="0" w:color="auto"/>
      </w:divBdr>
    </w:div>
    <w:div w:id="862062035">
      <w:bodyDiv w:val="1"/>
      <w:marLeft w:val="0"/>
      <w:marRight w:val="0"/>
      <w:marTop w:val="0"/>
      <w:marBottom w:val="0"/>
      <w:divBdr>
        <w:top w:val="none" w:sz="0" w:space="0" w:color="auto"/>
        <w:left w:val="none" w:sz="0" w:space="0" w:color="auto"/>
        <w:bottom w:val="none" w:sz="0" w:space="0" w:color="auto"/>
        <w:right w:val="none" w:sz="0" w:space="0" w:color="auto"/>
      </w:divBdr>
    </w:div>
    <w:div w:id="1921674374">
      <w:bodyDiv w:val="1"/>
      <w:marLeft w:val="0"/>
      <w:marRight w:val="0"/>
      <w:marTop w:val="0"/>
      <w:marBottom w:val="0"/>
      <w:divBdr>
        <w:top w:val="none" w:sz="0" w:space="0" w:color="auto"/>
        <w:left w:val="none" w:sz="0" w:space="0" w:color="auto"/>
        <w:bottom w:val="none" w:sz="0" w:space="0" w:color="auto"/>
        <w:right w:val="none" w:sz="0" w:space="0" w:color="auto"/>
      </w:divBdr>
    </w:div>
    <w:div w:id="21458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1138\Downloads\mavebaelte%20(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7442-6EF4-4780-99A1-D2AA30D7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mavebaelte (1).dotx</Template>
  <TotalTime>0</TotalTime>
  <Pages>5</Pages>
  <Words>2002</Words>
  <Characters>12215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InKIT</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Løth Christensen</dc:creator>
  <cp:lastModifiedBy>Jonas Hermann Damsbo</cp:lastModifiedBy>
  <cp:revision>2</cp:revision>
  <cp:lastPrinted>2013-04-24T08:10:00Z</cp:lastPrinted>
  <dcterms:created xsi:type="dcterms:W3CDTF">2017-12-11T12:16:00Z</dcterms:created>
  <dcterms:modified xsi:type="dcterms:W3CDTF">2017-12-11T12:16:00Z</dcterms:modified>
</cp:coreProperties>
</file>