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2A" w:rsidRPr="000A375E" w:rsidRDefault="00A31D2A" w:rsidP="00F2251E">
      <w:pPr>
        <w:pStyle w:val="Brdtekst"/>
        <w:jc w:val="both"/>
      </w:pPr>
    </w:p>
    <w:p w:rsidR="00A31D2A" w:rsidRPr="000A375E" w:rsidRDefault="007339C6" w:rsidP="00BE5210">
      <w:pPr>
        <w:pStyle w:val="Brdtekst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1553" wp14:editId="224EEE4A">
                <wp:simplePos x="0" y="0"/>
                <wp:positionH relativeFrom="column">
                  <wp:posOffset>3474720</wp:posOffset>
                </wp:positionH>
                <wp:positionV relativeFrom="paragraph">
                  <wp:posOffset>4445</wp:posOffset>
                </wp:positionV>
                <wp:extent cx="2386965" cy="1447800"/>
                <wp:effectExtent l="0" t="4445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D2A" w:rsidRPr="000A375E" w:rsidRDefault="00A31D2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A375E">
                              <w:rPr>
                                <w:b/>
                                <w:bCs/>
                              </w:rPr>
                              <w:t>NOTAT</w:t>
                            </w:r>
                          </w:p>
                          <w:p w:rsidR="00A31D2A" w:rsidRPr="00AE761A" w:rsidRDefault="00A31D2A" w:rsidP="008B7A48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Dato:</w:t>
                            </w:r>
                            <w:r w:rsidRPr="00AE76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19. januar 2014</w:t>
                            </w:r>
                          </w:p>
                          <w:p w:rsidR="00A31D2A" w:rsidRPr="00AE761A" w:rsidRDefault="00A31D2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  <w:t>Kontor: By/Land/Ejendomsdata</w:t>
                            </w:r>
                          </w:p>
                          <w:p w:rsidR="00A31D2A" w:rsidRPr="00AE761A" w:rsidRDefault="00A31D2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31D2A" w:rsidRPr="00AE761A" w:rsidRDefault="00A31D2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  <w:t>Sagsbehandler: MLI</w:t>
                            </w:r>
                          </w:p>
                          <w:p w:rsidR="00A31D2A" w:rsidRPr="00AE761A" w:rsidRDefault="00A31D2A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  <w:t>Dok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73.6pt;margin-top:.35pt;width:187.9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" stroked="f">
                <v:stroke dashstyle="1 1"/>
                <v:textbox>
                  <w:txbxContent>
                    <w:p w:rsidR="00A31D2A" w:rsidRPr="000A375E" w:rsidRDefault="00A31D2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120"/>
                        <w:rPr>
                          <w:b/>
                          <w:bCs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0A375E">
                        <w:rPr>
                          <w:b/>
                          <w:bCs/>
                        </w:rPr>
                        <w:t>NOTAT</w:t>
                      </w:r>
                    </w:p>
                    <w:p w:rsidR="00A31D2A" w:rsidRPr="00AE761A" w:rsidRDefault="00A31D2A" w:rsidP="008B7A48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Dato:</w:t>
                      </w:r>
                      <w:r w:rsidRPr="00AE761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19. januar 2014</w:t>
                      </w:r>
                    </w:p>
                    <w:p w:rsidR="00A31D2A" w:rsidRPr="00AE761A" w:rsidRDefault="00A31D2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61A">
                        <w:rPr>
                          <w:sz w:val="20"/>
                          <w:szCs w:val="20"/>
                        </w:rPr>
                        <w:tab/>
                        <w:t>Kontor: By/Land/Ejendomsdata</w:t>
                      </w:r>
                    </w:p>
                    <w:p w:rsidR="00A31D2A" w:rsidRPr="00AE761A" w:rsidRDefault="00A31D2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61A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31D2A" w:rsidRPr="00AE761A" w:rsidRDefault="00A31D2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61A">
                        <w:rPr>
                          <w:sz w:val="20"/>
                          <w:szCs w:val="20"/>
                        </w:rPr>
                        <w:tab/>
                        <w:t>Sagsbehandler: MLI</w:t>
                      </w:r>
                    </w:p>
                    <w:p w:rsidR="00A31D2A" w:rsidRPr="00AE761A" w:rsidRDefault="00A31D2A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61A">
                        <w:rPr>
                          <w:sz w:val="20"/>
                          <w:szCs w:val="20"/>
                        </w:rPr>
                        <w:tab/>
                        <w:t>Dok id:</w:t>
                      </w:r>
                    </w:p>
                  </w:txbxContent>
                </v:textbox>
              </v:shape>
            </w:pict>
          </mc:Fallback>
        </mc:AlternateContent>
      </w:r>
      <w:r w:rsidR="00A31D2A" w:rsidRPr="000A375E">
        <w:tab/>
      </w:r>
    </w:p>
    <w:p w:rsidR="00A31D2A" w:rsidRPr="000A375E" w:rsidRDefault="00A31D2A" w:rsidP="00BE5210">
      <w:pPr>
        <w:pStyle w:val="Brdtekst"/>
      </w:pPr>
      <w:r w:rsidRPr="000A375E">
        <w:tab/>
      </w:r>
      <w:r w:rsidRPr="000A375E">
        <w:tab/>
      </w:r>
      <w:r w:rsidRPr="000A375E">
        <w:tab/>
      </w:r>
    </w:p>
    <w:p w:rsidR="00A31D2A" w:rsidRPr="000A375E" w:rsidRDefault="00A31D2A" w:rsidP="00BE5210">
      <w:pPr>
        <w:pStyle w:val="Brdtekst"/>
      </w:pPr>
    </w:p>
    <w:p w:rsidR="00A31D2A" w:rsidRPr="000A375E" w:rsidRDefault="00A31D2A" w:rsidP="00BE5210">
      <w:pPr>
        <w:pStyle w:val="Brdtekst"/>
      </w:pPr>
    </w:p>
    <w:p w:rsidR="00A31D2A" w:rsidRPr="000A375E" w:rsidRDefault="00A31D2A" w:rsidP="00BE5210">
      <w:pPr>
        <w:pStyle w:val="Brdtekst"/>
      </w:pPr>
    </w:p>
    <w:p w:rsidR="00A31D2A" w:rsidRPr="000A375E" w:rsidRDefault="00A31D2A" w:rsidP="00BE5210">
      <w:pPr>
        <w:pStyle w:val="Brdtekst"/>
      </w:pPr>
    </w:p>
    <w:p w:rsidR="00A31D2A" w:rsidRPr="00922963" w:rsidRDefault="00A31D2A" w:rsidP="00922963">
      <w:pPr>
        <w:pStyle w:val="Titel"/>
      </w:pPr>
      <w:r w:rsidRPr="00922963">
        <w:t xml:space="preserve">GD2 – </w:t>
      </w:r>
      <w:r w:rsidRPr="00574E68">
        <w:rPr>
          <w:szCs w:val="22"/>
        </w:rPr>
        <w:t>Adresseprogrammet</w:t>
      </w:r>
      <w:r w:rsidRPr="00922963">
        <w:t xml:space="preserve"> – Regler for DAGI temaet ”supplerende bynavne”</w:t>
      </w:r>
    </w:p>
    <w:p w:rsidR="00A31D2A" w:rsidRPr="002D42A8" w:rsidRDefault="00A31D2A" w:rsidP="00DE7624">
      <w:pPr>
        <w:pStyle w:val="Overskrift1"/>
      </w:pPr>
      <w:r w:rsidRPr="00574E68">
        <w:t>Problem</w:t>
      </w:r>
    </w:p>
    <w:p w:rsidR="00A31D2A" w:rsidRDefault="00A31D2A" w:rsidP="00D45F8D">
      <w:pPr>
        <w:pStyle w:val="Brdtekst"/>
        <w:tabs>
          <w:tab w:val="left" w:pos="1680"/>
        </w:tabs>
      </w:pPr>
      <w:r>
        <w:t>Supplerende bynavne indgår i adressesystemet. I områder hvor et supple</w:t>
      </w:r>
      <w:r>
        <w:softHyphen/>
        <w:t>rende bynavn er fastsat, indgår dette som en del af den officielle adressebetegnelse, fx på breve og blan</w:t>
      </w:r>
      <w:r>
        <w:softHyphen/>
        <w:t>ket</w:t>
      </w:r>
      <w:r>
        <w:softHyphen/>
        <w:t xml:space="preserve">ter, idet det hjælper til at </w:t>
      </w:r>
      <w:r w:rsidRPr="00B5385B">
        <w:t>tydeliggør</w:t>
      </w:r>
      <w:r>
        <w:t>e</w:t>
      </w:r>
      <w:r w:rsidRPr="00B5385B">
        <w:t xml:space="preserve"> beliggenheden af vejen og de tilhørende adresser</w:t>
      </w:r>
      <w:r>
        <w:t xml:space="preserve"> inden for post</w:t>
      </w:r>
      <w:r>
        <w:softHyphen/>
        <w:t>nummeret. For borgerne tillægg</w:t>
      </w:r>
      <w:bookmarkStart w:id="0" w:name="_GoBack"/>
      <w:bookmarkEnd w:id="0"/>
      <w:r>
        <w:t xml:space="preserve">es en korrekt anvendelse af det supplerende bynavn ofte stor betydning. </w:t>
      </w:r>
    </w:p>
    <w:p w:rsidR="00A31D2A" w:rsidRDefault="00A31D2A" w:rsidP="00D45F8D">
      <w:pPr>
        <w:pStyle w:val="Brdtekst"/>
        <w:tabs>
          <w:tab w:val="left" w:pos="1680"/>
        </w:tabs>
      </w:pPr>
      <w:r>
        <w:t>Som regel udgør det supplerende bynavn navnet på den landsby eller bebyggelse som adres</w:t>
      </w:r>
      <w:r>
        <w:softHyphen/>
        <w:t xml:space="preserve">sen ligger i, fx </w:t>
      </w:r>
      <w:r w:rsidRPr="00B5385B">
        <w:rPr>
          <w:i/>
        </w:rPr>
        <w:t>”Astrupvej 23, Astrup, 9541 Suldrup”</w:t>
      </w:r>
      <w:r>
        <w:rPr>
          <w:i/>
        </w:rPr>
        <w:t>.</w:t>
      </w:r>
      <w:r>
        <w:t xml:space="preserve"> Omkring 35 % af Danmarks </w:t>
      </w:r>
      <w:proofErr w:type="spellStart"/>
      <w:r>
        <w:t>ad</w:t>
      </w:r>
      <w:r>
        <w:softHyphen/>
        <w:t>gangs</w:t>
      </w:r>
      <w:r>
        <w:softHyphen/>
        <w:t>adresser</w:t>
      </w:r>
      <w:proofErr w:type="spellEnd"/>
      <w:r>
        <w:t xml:space="preserve"> er forsynet med et supplerende bynavn. </w:t>
      </w:r>
    </w:p>
    <w:p w:rsidR="00A31D2A" w:rsidRDefault="00A31D2A" w:rsidP="00D45F8D">
      <w:pPr>
        <w:pStyle w:val="Brdtekst"/>
        <w:tabs>
          <w:tab w:val="left" w:pos="1680"/>
        </w:tabs>
      </w:pPr>
      <w:r>
        <w:t>Det supplerende bynavn er relativt synligt når det optræder som en del af den fuldstændige adres</w:t>
      </w:r>
      <w:r>
        <w:softHyphen/>
        <w:t>se på dokumenter fra det offentlige, fx kommune, SKAT, sundhedskort o.l. Især i land</w:t>
      </w:r>
      <w:r>
        <w:softHyphen/>
        <w:t xml:space="preserve">distrikternes små bysamfund lægges der erfaringsmæssigt stor vægt på, at det supplerende bynavn findes og anvendes konsekvent – som en væsentlig del af den lokale identitet. </w:t>
      </w:r>
    </w:p>
    <w:p w:rsidR="00A31D2A" w:rsidRDefault="00A31D2A" w:rsidP="00D45F8D">
      <w:pPr>
        <w:pStyle w:val="Brdtekst"/>
        <w:tabs>
          <w:tab w:val="left" w:pos="1680"/>
        </w:tabs>
      </w:pPr>
      <w:r>
        <w:t>Det er den kommunale adressemyndighed, som i medfør af adressebekendtgørelsen</w:t>
      </w:r>
      <w:r>
        <w:rPr>
          <w:rStyle w:val="Fodnotehenvisning"/>
        </w:rPr>
        <w:footnoteReference w:id="1"/>
      </w:r>
      <w:r>
        <w:t xml:space="preserve"> har ansvaret for fastlæggelse og afgrænsning af de supplerende bynavne. I dag registrerer og opdaterer kommunen det supplerende bynavn manuelt i CPR’s Vejregister, i form af et </w:t>
      </w:r>
      <w:proofErr w:type="spellStart"/>
      <w:r>
        <w:t>hus</w:t>
      </w:r>
      <w:r>
        <w:softHyphen/>
        <w:t>nummerinterval</w:t>
      </w:r>
      <w:proofErr w:type="spellEnd"/>
      <w:r>
        <w:t xml:space="preserve"> for hver enkelt vej og vejside. </w:t>
      </w:r>
    </w:p>
    <w:p w:rsidR="00A31D2A" w:rsidRDefault="00A31D2A" w:rsidP="00D45F8D">
      <w:r>
        <w:t>I forbindelse med grunddataprogrammets delaftale 2 for adresser, administrative indde</w:t>
      </w:r>
      <w:r>
        <w:softHyphen/>
        <w:t>lin</w:t>
      </w:r>
      <w:r>
        <w:softHyphen/>
        <w:t>ger og stednavne, er det aftalt at supplerende bynavn skal oprettes, lagres og ajourføres som et nyt tema DAGI (Danmarks administrative, geografiske inddeling), dvs. i det it-system, ”</w:t>
      </w:r>
      <w:proofErr w:type="spellStart"/>
      <w:r>
        <w:t>DAGISys</w:t>
      </w:r>
      <w:proofErr w:type="spellEnd"/>
      <w:r>
        <w:t>”, som GST bygger hertil.</w:t>
      </w:r>
    </w:p>
    <w:p w:rsidR="00A31D2A" w:rsidRDefault="00A31D2A" w:rsidP="00D45F8D">
      <w:r>
        <w:t>I forbindelse med fastlæg</w:t>
      </w:r>
      <w:r>
        <w:softHyphen/>
        <w:t xml:space="preserve">gelse af løsningsdesignet for </w:t>
      </w:r>
      <w:proofErr w:type="spellStart"/>
      <w:r>
        <w:t>DAGI</w:t>
      </w:r>
      <w:r>
        <w:softHyphen/>
        <w:t>Sys</w:t>
      </w:r>
      <w:proofErr w:type="spellEnd"/>
      <w:r>
        <w:t xml:space="preserve">, skal de grundlæggende </w:t>
      </w:r>
      <w:proofErr w:type="spellStart"/>
      <w:r>
        <w:t>data</w:t>
      </w:r>
      <w:r>
        <w:softHyphen/>
        <w:t>modelregler</w:t>
      </w:r>
      <w:proofErr w:type="spellEnd"/>
      <w:r>
        <w:t xml:space="preserve"> for det nye tema fastlægges. </w:t>
      </w:r>
    </w:p>
    <w:p w:rsidR="00A31D2A" w:rsidRDefault="00A31D2A" w:rsidP="00DE7624">
      <w:pPr>
        <w:pStyle w:val="Overskrift1"/>
      </w:pPr>
      <w:r w:rsidRPr="00DE7624">
        <w:lastRenderedPageBreak/>
        <w:t>Løsning</w:t>
      </w:r>
    </w:p>
    <w:p w:rsidR="00A31D2A" w:rsidRDefault="00A31D2A" w:rsidP="00DE7624">
      <w:pPr>
        <w:pStyle w:val="Overskrift2"/>
        <w:ind w:left="720" w:hanging="720"/>
      </w:pPr>
      <w:r>
        <w:t xml:space="preserve">Nuværende </w:t>
      </w:r>
      <w:r w:rsidRPr="00DE7624">
        <w:t>regler</w:t>
      </w:r>
    </w:p>
    <w:p w:rsidR="00A31D2A" w:rsidRDefault="00A31D2A" w:rsidP="00D61FE2">
      <w:r>
        <w:t>De nuværende regler for supplerende bynavne fremgår af adressebekendtgørelsens § 9.</w:t>
      </w:r>
    </w:p>
    <w:p w:rsidR="00A31D2A" w:rsidRPr="00494851" w:rsidRDefault="00A31D2A" w:rsidP="001A7245">
      <w:pPr>
        <w:pStyle w:val="Citat"/>
        <w:spacing w:before="120" w:after="0"/>
        <w:ind w:right="862"/>
      </w:pPr>
      <w:r>
        <w:rPr>
          <w:b/>
        </w:rPr>
        <w:t>”</w:t>
      </w:r>
      <w:r w:rsidRPr="00D61FE2">
        <w:rPr>
          <w:b/>
        </w:rPr>
        <w:t xml:space="preserve">§ 9. </w:t>
      </w:r>
      <w:r>
        <w:t xml:space="preserve"> Kommunalbestyrelsen kan for hver </w:t>
      </w:r>
      <w:r w:rsidRPr="00494851">
        <w:t>navngiven vej fastsætte et eller flere supplerende bynavne, som tydeliggør beliggenheden af vejen og de tilhørende adresser. Et supplerende bynavn kan fastsættes for hele vejnavnets udstræk</w:t>
      </w:r>
      <w:r>
        <w:softHyphen/>
      </w:r>
      <w:r w:rsidRPr="00494851">
        <w:t xml:space="preserve">ning eller for dele af vejnavnet (intervaller af husnumre). </w:t>
      </w:r>
    </w:p>
    <w:p w:rsidR="00A31D2A" w:rsidRPr="00494851" w:rsidRDefault="00A31D2A" w:rsidP="001A7245">
      <w:pPr>
        <w:pStyle w:val="Citat"/>
        <w:spacing w:before="120" w:after="0"/>
        <w:ind w:right="862"/>
      </w:pPr>
      <w:r w:rsidRPr="00494851">
        <w:t>Stk. 2.  Et supplerende bynavn kan sammensættes af indtil 34 tegn. Som by</w:t>
      </w:r>
      <w:r>
        <w:softHyphen/>
      </w:r>
      <w:r w:rsidRPr="00494851">
        <w:t>navn kan anvendes et egentligt bynavn eller et andet lokalt stednavn, der er egnet til at præcisere adressebetegnelsen. Et supplerende bynavn skal fast</w:t>
      </w:r>
      <w:r>
        <w:softHyphen/>
      </w:r>
      <w:r w:rsidRPr="00494851">
        <w:t xml:space="preserve">sættes således, at det kan skelnes fra navnet på det pågældende postnummer (postdistrikt). </w:t>
      </w:r>
    </w:p>
    <w:p w:rsidR="00A31D2A" w:rsidRDefault="00A31D2A" w:rsidP="006E2548">
      <w:pPr>
        <w:pStyle w:val="Citat"/>
        <w:spacing w:before="120" w:after="120"/>
        <w:ind w:right="862"/>
      </w:pPr>
      <w:r w:rsidRPr="00494851">
        <w:t>Stk. 3.  Supplerende bynavne skal så vidt muligt fastsættes i overensstemmelse med den almindelige retskrivning og Stednavneudvalgets fortegnelse over dan</w:t>
      </w:r>
      <w:r>
        <w:softHyphen/>
      </w:r>
      <w:r w:rsidRPr="00494851">
        <w:t>ske stednavne.</w:t>
      </w:r>
      <w:r>
        <w:t>”</w:t>
      </w:r>
    </w:p>
    <w:p w:rsidR="00A31D2A" w:rsidRDefault="00A31D2A" w:rsidP="002611C7">
      <w:r>
        <w:t xml:space="preserve">Reglerne er udformet med henblik på at det supplerende bynavn registreres som en alfanumerisk oplysning, der i CPR’s Vejregister knyttes til en eller flere intervaller af husnumre (vejdistrikter) på de berørte vejnavne. </w:t>
      </w:r>
    </w:p>
    <w:p w:rsidR="00A31D2A" w:rsidRDefault="00A31D2A" w:rsidP="00DE7624">
      <w:pPr>
        <w:pStyle w:val="Overskrift2"/>
        <w:ind w:left="720" w:hanging="720"/>
      </w:pPr>
      <w:r>
        <w:t>Fremtidige regler</w:t>
      </w:r>
    </w:p>
    <w:p w:rsidR="00A31D2A" w:rsidRDefault="00A31D2A" w:rsidP="00B76408">
      <w:r>
        <w:t>I hovedtrækkene skal de samme regler være gældende når temaet supplerende bynavne skal overgå til at være et geografisk afgrænset tema i DAGI. Reglerne skal således hverken ændre den nuværende funktion af de supplerende bynavne eller kommunernes opgaver og ansvar på området:</w:t>
      </w:r>
    </w:p>
    <w:p w:rsidR="00A31D2A" w:rsidRDefault="00A31D2A" w:rsidP="00FB13A2">
      <w:pPr>
        <w:numPr>
          <w:ilvl w:val="0"/>
          <w:numId w:val="45"/>
        </w:numPr>
        <w:spacing w:after="120" w:line="280" w:lineRule="atLeast"/>
      </w:pPr>
      <w:r>
        <w:t xml:space="preserve">Et supplerende bynavn skal omfatte en bestemt del af kommunens område, hvori en eller flere adresser er beliggende eller planlægges. </w:t>
      </w:r>
    </w:p>
    <w:p w:rsidR="00A31D2A" w:rsidRDefault="00A31D2A" w:rsidP="00FB13A2">
      <w:pPr>
        <w:numPr>
          <w:ilvl w:val="0"/>
          <w:numId w:val="45"/>
        </w:numPr>
        <w:spacing w:after="120" w:line="280" w:lineRule="atLeast"/>
      </w:pPr>
      <w:r>
        <w:t>Området skal ligge indenfor kommunens område, idet den topografiske kystlinje dog ikke udgør kommunens afgrænsning mod vand</w:t>
      </w:r>
      <w:r>
        <w:rPr>
          <w:rStyle w:val="Fodnotehenvisning"/>
          <w:rFonts w:cs="Calibri"/>
        </w:rPr>
        <w:footnoteReference w:id="2"/>
      </w:r>
      <w:r>
        <w:t xml:space="preserve">. </w:t>
      </w:r>
    </w:p>
    <w:p w:rsidR="00A31D2A" w:rsidRDefault="00A31D2A" w:rsidP="003115DB">
      <w:pPr>
        <w:numPr>
          <w:ilvl w:val="0"/>
          <w:numId w:val="45"/>
        </w:numPr>
        <w:spacing w:after="120" w:line="280" w:lineRule="atLeast"/>
      </w:pPr>
      <w:r>
        <w:t>Området kan være sammensat af flere delområder, der ikke er geografisk sammen</w:t>
      </w:r>
      <w:r>
        <w:softHyphen/>
        <w:t>hæn</w:t>
      </w:r>
      <w:r>
        <w:softHyphen/>
        <w:t>gen</w:t>
      </w:r>
      <w:r>
        <w:softHyphen/>
        <w:t>de.</w:t>
      </w:r>
      <w:r>
        <w:rPr>
          <w:rStyle w:val="Fodnotehenvisning"/>
        </w:rPr>
        <w:footnoteReference w:id="3"/>
      </w:r>
      <w:r>
        <w:t xml:space="preserve"> Der kan være huller i området (”cut-out”, dvs. som en vaniljekrans). Et område eller en enklave af et område kan ligge inden i et andet område. To områder må ikke over</w:t>
      </w:r>
      <w:r>
        <w:softHyphen/>
        <w:t xml:space="preserve">lappe hinanden. </w:t>
      </w:r>
    </w:p>
    <w:p w:rsidR="00A31D2A" w:rsidRDefault="00A31D2A" w:rsidP="00FB13A2">
      <w:pPr>
        <w:numPr>
          <w:ilvl w:val="0"/>
          <w:numId w:val="45"/>
        </w:numPr>
        <w:spacing w:after="120" w:line="280" w:lineRule="atLeast"/>
      </w:pPr>
      <w:r>
        <w:t>Områdets afgrænsning bør så vidt fastlægges så den følger matrikulære skel, andre administrative grænser og/eller topografiske linjer (vej, jernbane, vandløb, hegn o.l.)</w:t>
      </w:r>
    </w:p>
    <w:p w:rsidR="00A31D2A" w:rsidRDefault="00A31D2A" w:rsidP="00F92EF2">
      <w:pPr>
        <w:numPr>
          <w:ilvl w:val="0"/>
          <w:numId w:val="45"/>
        </w:numPr>
        <w:spacing w:after="120" w:line="280" w:lineRule="atLeast"/>
      </w:pPr>
      <w:r>
        <w:lastRenderedPageBreak/>
        <w:t xml:space="preserve">Det supplerende bynavn må højest være på 34 tegn. </w:t>
      </w:r>
    </w:p>
    <w:p w:rsidR="00A31D2A" w:rsidRDefault="00A31D2A" w:rsidP="00093DC0">
      <w:pPr>
        <w:numPr>
          <w:ilvl w:val="0"/>
          <w:numId w:val="45"/>
        </w:numPr>
        <w:spacing w:after="120" w:line="280" w:lineRule="atLeast"/>
      </w:pPr>
      <w:r>
        <w:t xml:space="preserve">Som supplerende bynavn kan anvendes et stednavn, der betegner en bebyggelse eller udgør navnet på et område (fx spredt bebyggelse, landskab, halvø, ø). </w:t>
      </w:r>
    </w:p>
    <w:p w:rsidR="00A31D2A" w:rsidRDefault="00A31D2A" w:rsidP="001A7245">
      <w:pPr>
        <w:numPr>
          <w:ilvl w:val="0"/>
          <w:numId w:val="45"/>
        </w:numPr>
        <w:spacing w:after="120" w:line="280" w:lineRule="atLeast"/>
      </w:pPr>
      <w:r>
        <w:t>Det supplerende bynavn skal tydeligt kunne skelnes fra det navn der er knyttet til postnummeret i området.</w:t>
      </w:r>
    </w:p>
    <w:p w:rsidR="00A31D2A" w:rsidRDefault="00A31D2A" w:rsidP="00F92EF2">
      <w:pPr>
        <w:numPr>
          <w:ilvl w:val="0"/>
          <w:numId w:val="45"/>
        </w:numPr>
        <w:spacing w:after="120" w:line="280" w:lineRule="atLeast"/>
      </w:pPr>
      <w:r>
        <w:t>Et supplerende bynavn må ikke fastsættes når det samme eller et næsten enslydende navn allerede er i brug indenfor kommunen eller inden for postnummeret.</w:t>
      </w:r>
    </w:p>
    <w:p w:rsidR="00A31D2A" w:rsidRDefault="00A31D2A" w:rsidP="000B30A4">
      <w:pPr>
        <w:numPr>
          <w:ilvl w:val="0"/>
          <w:numId w:val="45"/>
        </w:numPr>
        <w:spacing w:after="120" w:line="280" w:lineRule="atLeast"/>
      </w:pPr>
      <w:r>
        <w:t>Det supplerende bynavn</w:t>
      </w:r>
      <w:r w:rsidRPr="00494851">
        <w:t xml:space="preserve"> skal så vidt muligt </w:t>
      </w:r>
      <w:r>
        <w:t xml:space="preserve">skrives </w:t>
      </w:r>
      <w:r w:rsidRPr="00494851">
        <w:t xml:space="preserve">i overensstemmelse med </w:t>
      </w:r>
      <w:r>
        <w:t xml:space="preserve">Dansk </w:t>
      </w:r>
      <w:r w:rsidRPr="00494851">
        <w:t>retskrivning</w:t>
      </w:r>
      <w:r>
        <w:rPr>
          <w:rStyle w:val="Fodnotehenvisning"/>
        </w:rPr>
        <w:footnoteReference w:id="4"/>
      </w:r>
      <w:r>
        <w:t xml:space="preserve">. </w:t>
      </w:r>
    </w:p>
    <w:p w:rsidR="00A31D2A" w:rsidRDefault="00A31D2A" w:rsidP="000B30A4">
      <w:pPr>
        <w:numPr>
          <w:ilvl w:val="0"/>
          <w:numId w:val="45"/>
        </w:numPr>
        <w:spacing w:after="120" w:line="280" w:lineRule="atLeast"/>
      </w:pPr>
      <w:r>
        <w:t xml:space="preserve">Såfremt det supplerende bynavn er optaget som autoriseret stednavn i </w:t>
      </w:r>
      <w:proofErr w:type="spellStart"/>
      <w:r>
        <w:t>GST’s</w:t>
      </w:r>
      <w:proofErr w:type="spellEnd"/>
      <w:r>
        <w:t xml:space="preserve"> </w:t>
      </w:r>
      <w:proofErr w:type="spellStart"/>
      <w:r>
        <w:t>data</w:t>
      </w:r>
      <w:r>
        <w:softHyphen/>
        <w:t>sæt</w:t>
      </w:r>
      <w:proofErr w:type="spellEnd"/>
      <w:r>
        <w:t xml:space="preserve"> ”Danske Stednavne” eller i Stednavneudvalgets liste over godkendte stednavne, skal denne stavemåde anvendes. </w:t>
      </w:r>
    </w:p>
    <w:p w:rsidR="00A31D2A" w:rsidRDefault="00A31D2A" w:rsidP="0049256E">
      <w:pPr>
        <w:numPr>
          <w:ilvl w:val="0"/>
          <w:numId w:val="45"/>
        </w:numPr>
        <w:spacing w:after="120" w:line="280" w:lineRule="atLeast"/>
      </w:pPr>
      <w:r>
        <w:t xml:space="preserve">Et nyt supplerende bynavn eller en ændring af et supplerende bynavn kan fastsættes med en virkningsdato som er samtidig med eller senere end </w:t>
      </w:r>
      <w:proofErr w:type="spellStart"/>
      <w:r>
        <w:t>registre</w:t>
      </w:r>
      <w:r>
        <w:softHyphen/>
        <w:t>rings</w:t>
      </w:r>
      <w:r>
        <w:softHyphen/>
        <w:t>datoen</w:t>
      </w:r>
      <w:proofErr w:type="spellEnd"/>
      <w:r>
        <w:rPr>
          <w:rStyle w:val="Fodnotehenvisning"/>
        </w:rPr>
        <w:footnoteReference w:id="5"/>
      </w:r>
      <w:r>
        <w:t>.</w:t>
      </w:r>
    </w:p>
    <w:p w:rsidR="00A31D2A" w:rsidRDefault="00A31D2A" w:rsidP="006E2548">
      <w:pPr>
        <w:pStyle w:val="Brdtekst"/>
      </w:pPr>
      <w:r>
        <w:t xml:space="preserve">Reglerne 2, 3 og 5 bør valideres i forbindelse med lagring og ajourføring i </w:t>
      </w:r>
      <w:proofErr w:type="spellStart"/>
      <w:r>
        <w:t>DAGISys</w:t>
      </w:r>
      <w:proofErr w:type="spellEnd"/>
      <w:r>
        <w:t>.</w:t>
      </w:r>
    </w:p>
    <w:p w:rsidR="00A31D2A" w:rsidRDefault="00A31D2A" w:rsidP="00DE7624">
      <w:pPr>
        <w:pStyle w:val="Overskrift2"/>
        <w:ind w:left="720" w:hanging="720"/>
      </w:pPr>
      <w:r>
        <w:t>Konvertering og forbedring af eksisterende data</w:t>
      </w:r>
    </w:p>
    <w:p w:rsidR="00A31D2A" w:rsidRDefault="00A31D2A" w:rsidP="009B6749">
      <w:pPr>
        <w:rPr>
          <w:lang w:eastAsia="ja-JP"/>
        </w:rPr>
      </w:pPr>
      <w:r>
        <w:rPr>
          <w:lang w:eastAsia="ja-JP"/>
        </w:rPr>
        <w:t xml:space="preserve">I forbindelse med dataforbedringsaktiviteterne i foråret 2014 skal CPR Vejs supplerende </w:t>
      </w:r>
      <w:proofErr w:type="spellStart"/>
      <w:r>
        <w:rPr>
          <w:lang w:eastAsia="ja-JP"/>
        </w:rPr>
        <w:t>by</w:t>
      </w:r>
      <w:r>
        <w:rPr>
          <w:lang w:eastAsia="ja-JP"/>
        </w:rPr>
        <w:softHyphen/>
        <w:t>navnedata</w:t>
      </w:r>
      <w:proofErr w:type="spellEnd"/>
      <w:r>
        <w:rPr>
          <w:lang w:eastAsia="ja-JP"/>
        </w:rPr>
        <w:t xml:space="preserve"> konverteres til et geografisk tema, der lever op til de fremtidige krav. </w:t>
      </w:r>
    </w:p>
    <w:p w:rsidR="00A31D2A" w:rsidRPr="005D53F5" w:rsidRDefault="00A31D2A" w:rsidP="009B6749">
      <w:pPr>
        <w:rPr>
          <w:lang w:eastAsia="ja-JP"/>
        </w:rPr>
      </w:pPr>
      <w:r>
        <w:rPr>
          <w:lang w:eastAsia="ja-JP"/>
        </w:rPr>
        <w:t>I forbindelse med konverteringen skal datakvaliteten forbedres, bl.a. med henblik på at rette fejl og mangler, inkonsistente og ukorrekte stavemåder, samt evt. data som ikke re</w:t>
      </w:r>
      <w:r>
        <w:rPr>
          <w:lang w:eastAsia="ja-JP"/>
        </w:rPr>
        <w:softHyphen/>
        <w:t>præ</w:t>
      </w:r>
      <w:r>
        <w:rPr>
          <w:lang w:eastAsia="ja-JP"/>
        </w:rPr>
        <w:softHyphen/>
        <w:t>sen</w:t>
      </w:r>
      <w:r>
        <w:rPr>
          <w:lang w:eastAsia="ja-JP"/>
        </w:rPr>
        <w:softHyphen/>
        <w:t>terer et supplerende bynavn efter de nuværende regler</w:t>
      </w:r>
      <w:r>
        <w:rPr>
          <w:rStyle w:val="Fodnotehenvisning"/>
          <w:lang w:eastAsia="ja-JP"/>
        </w:rPr>
        <w:footnoteReference w:id="6"/>
      </w:r>
      <w:r>
        <w:rPr>
          <w:lang w:eastAsia="ja-JP"/>
        </w:rPr>
        <w:t xml:space="preserve">. </w:t>
      </w:r>
    </w:p>
    <w:p w:rsidR="00A31D2A" w:rsidRDefault="00A31D2A" w:rsidP="00DE7624">
      <w:pPr>
        <w:pStyle w:val="Overskrift1"/>
      </w:pPr>
      <w:r>
        <w:t>Proces</w:t>
      </w:r>
    </w:p>
    <w:p w:rsidR="00A31D2A" w:rsidRDefault="00A31D2A" w:rsidP="005157D4">
      <w:pPr>
        <w:pStyle w:val="Brdtekst"/>
      </w:pPr>
      <w:r>
        <w:t>Reglerne har den 25. november 2013 været forelagt projektforum til drøftelse. Bemærk</w:t>
      </w:r>
      <w:r>
        <w:softHyphen/>
        <w:t xml:space="preserve">ninger herfra er indarbejdet i nærværende notat. Notatet har i januar 2014 været forelagt Post Danmark, hvilket har givet anledning til enkelte præciseringer. </w:t>
      </w:r>
    </w:p>
    <w:p w:rsidR="00A31D2A" w:rsidRPr="00A075E7" w:rsidRDefault="00A31D2A" w:rsidP="005C0211">
      <w:pPr>
        <w:pStyle w:val="Brdtekst"/>
      </w:pPr>
      <w:r>
        <w:t xml:space="preserve">Reglerne indgår hermed som grundlag for etablering af DAGI-temaet og løsningsdesign </w:t>
      </w:r>
      <w:proofErr w:type="spellStart"/>
      <w:r>
        <w:t>ifm</w:t>
      </w:r>
      <w:proofErr w:type="spellEnd"/>
      <w:r>
        <w:t>. Admini</w:t>
      </w:r>
      <w:r>
        <w:softHyphen/>
        <w:t>strative Inddelinger (DAGI), Adresseregister (DAR) og Adressetjenester (AWS) samt som grundlag for revisio</w:t>
      </w:r>
      <w:r>
        <w:softHyphen/>
        <w:t>nen af ”Bekendtgørelse om vejnavne og adresser”.</w:t>
      </w:r>
    </w:p>
    <w:sectPr w:rsidR="00A31D2A" w:rsidRPr="00A075E7" w:rsidSect="009819D4">
      <w:footerReference w:type="default" r:id="rId8"/>
      <w:headerReference w:type="first" r:id="rId9"/>
      <w:footerReference w:type="first" r:id="rId10"/>
      <w:pgSz w:w="11906" w:h="16838" w:code="9"/>
      <w:pgMar w:top="1701" w:right="1416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2A" w:rsidRDefault="00A31D2A" w:rsidP="00D81B88">
      <w:pPr>
        <w:spacing w:after="0"/>
      </w:pPr>
      <w:r>
        <w:separator/>
      </w:r>
    </w:p>
  </w:endnote>
  <w:endnote w:type="continuationSeparator" w:id="0">
    <w:p w:rsidR="00A31D2A" w:rsidRDefault="00A31D2A" w:rsidP="00D81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2A" w:rsidRPr="00BE5210" w:rsidRDefault="00A31D2A" w:rsidP="009B0A02">
    <w:pPr>
      <w:pStyle w:val="Sidefod"/>
    </w:pPr>
  </w:p>
  <w:p w:rsidR="00A31D2A" w:rsidRPr="00BE5210" w:rsidRDefault="00A31D2A" w:rsidP="009B0A02">
    <w:pPr>
      <w:pStyle w:val="Sidefod"/>
    </w:pPr>
    <w:r w:rsidRPr="00BE5210">
      <w:rPr>
        <w:b/>
        <w:bCs/>
      </w:rPr>
      <w:fldChar w:fldCharType="begin"/>
    </w:r>
    <w:r w:rsidRPr="00BE5210">
      <w:rPr>
        <w:b/>
        <w:bCs/>
      </w:rPr>
      <w:instrText>PAGE  \* Arabic  \* MERGEFORMAT</w:instrText>
    </w:r>
    <w:r w:rsidRPr="00BE5210">
      <w:rPr>
        <w:b/>
        <w:bCs/>
      </w:rPr>
      <w:fldChar w:fldCharType="separate"/>
    </w:r>
    <w:r w:rsidR="00A321E5">
      <w:rPr>
        <w:b/>
        <w:bCs/>
        <w:noProof/>
      </w:rPr>
      <w:t>3</w:t>
    </w:r>
    <w:r w:rsidRPr="00BE5210">
      <w:rPr>
        <w:b/>
        <w:bCs/>
      </w:rPr>
      <w:fldChar w:fldCharType="end"/>
    </w:r>
    <w:r w:rsidRPr="00BE5210">
      <w:t xml:space="preserve"> af </w:t>
    </w:r>
    <w:fldSimple w:instr="NUMPAGES  \* Arabic  \* MERGEFORMAT">
      <w:r w:rsidR="00A321E5" w:rsidRPr="00A321E5">
        <w:rPr>
          <w:b/>
          <w:bCs/>
          <w:noProof/>
        </w:rPr>
        <w:t>3</w:t>
      </w:r>
    </w:fldSimple>
  </w:p>
  <w:p w:rsidR="00A31D2A" w:rsidRPr="00BE5210" w:rsidRDefault="00A31D2A" w:rsidP="009B0A02">
    <w:pPr>
      <w:pStyle w:val="Sidefod"/>
    </w:pPr>
    <w:r w:rsidRPr="00BE5210">
      <w:t xml:space="preserve">Gammel Mønt 4 · 1117 Købehavn K · T +45 33 92 29 00 · E mbbl@mbbl.dk · www.mbbl.dk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2A" w:rsidRPr="00B24063" w:rsidRDefault="00A31D2A" w:rsidP="00B24063">
    <w:pPr>
      <w:pStyle w:val="Sidefod"/>
    </w:pPr>
    <w:r w:rsidRPr="00B24063">
      <w:t xml:space="preserve">Gammel Mønt 4 · 1117 Købehavn K · T +45 33 92 29 00 · E mbbl@mbbl.dk · www.mbbl.dk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2A" w:rsidRDefault="00A31D2A" w:rsidP="00D81B88">
      <w:pPr>
        <w:spacing w:after="0"/>
      </w:pPr>
      <w:r>
        <w:separator/>
      </w:r>
    </w:p>
  </w:footnote>
  <w:footnote w:type="continuationSeparator" w:id="0">
    <w:p w:rsidR="00A31D2A" w:rsidRDefault="00A31D2A" w:rsidP="00D81B88">
      <w:pPr>
        <w:spacing w:after="0"/>
      </w:pPr>
      <w:r>
        <w:continuationSeparator/>
      </w:r>
    </w:p>
  </w:footnote>
  <w:footnote w:id="1">
    <w:p w:rsidR="00A31D2A" w:rsidRDefault="00A31D2A" w:rsidP="00D45F8D">
      <w:pPr>
        <w:pStyle w:val="Fodnotetekst"/>
      </w:pPr>
      <w:r>
        <w:rPr>
          <w:rStyle w:val="Fodnotehenvisning"/>
        </w:rPr>
        <w:footnoteRef/>
      </w:r>
      <w:r>
        <w:t xml:space="preserve"> Bekendtgørelse om vejnavne og adresser, BEK nr. 1398 af 12. december 2006.</w:t>
      </w:r>
    </w:p>
  </w:footnote>
  <w:footnote w:id="2">
    <w:p w:rsidR="00A31D2A" w:rsidRDefault="00A31D2A" w:rsidP="00DD0C81">
      <w:pPr>
        <w:pStyle w:val="Fodnotetekst"/>
      </w:pPr>
      <w:r>
        <w:rPr>
          <w:rStyle w:val="Fodnotehenvisning"/>
        </w:rPr>
        <w:footnoteRef/>
      </w:r>
      <w:r>
        <w:t xml:space="preserve"> Adresser kan være placeret uden for den topografiske kystlinje, fx på broer eller bolværker og i visse tilfælde på bortskyllet areal. I så fald skal de stadig falde inden for kommunens område. Dette forhold har betydning for alle DAGI temaer hvor ”</w:t>
      </w:r>
      <w:proofErr w:type="spellStart"/>
      <w:r>
        <w:t>knappe</w:t>
      </w:r>
      <w:r>
        <w:softHyphen/>
        <w:t>nålsmetoden</w:t>
      </w:r>
      <w:proofErr w:type="spellEnd"/>
      <w:r>
        <w:t>” skal anvendes for at fastlægge hvilken inddeling en bestemt adresse ligger i.</w:t>
      </w:r>
    </w:p>
  </w:footnote>
  <w:footnote w:id="3">
    <w:p w:rsidR="00A31D2A" w:rsidRDefault="00A31D2A">
      <w:pPr>
        <w:pStyle w:val="Fodnotetekst"/>
      </w:pPr>
      <w:r>
        <w:rPr>
          <w:rStyle w:val="Fodnotehenvisning"/>
        </w:rPr>
        <w:footnoteRef/>
      </w:r>
      <w:r>
        <w:t xml:space="preserve"> Det skal overvejes om der skal sættes en minimumsgrænse for størrelsen af sådanne områder og huller. </w:t>
      </w:r>
    </w:p>
  </w:footnote>
  <w:footnote w:id="4">
    <w:p w:rsidR="00A31D2A" w:rsidRDefault="00A31D2A" w:rsidP="00266C35">
      <w:pPr>
        <w:pStyle w:val="Fodnotetekst"/>
      </w:pPr>
      <w:r>
        <w:rPr>
          <w:rStyle w:val="Fodnotehenvisning"/>
        </w:rPr>
        <w:footnoteRef/>
      </w:r>
      <w:r>
        <w:t xml:space="preserve"> Det skal afklares nærmere om der skal fastsættes særlige regler om anvendelsen af forkortelser i navnet, som eksempelvis ”Gl.”, ”St.”, ”Ll.”, ”Sdr.” osv., herunder om forkortelser helt skal udgå eller, om der kun må anven</w:t>
      </w:r>
      <w:r>
        <w:softHyphen/>
        <w:t>des et antal særligt fastlagte forkortelser.</w:t>
      </w:r>
    </w:p>
  </w:footnote>
  <w:footnote w:id="5">
    <w:p w:rsidR="00A31D2A" w:rsidRDefault="00A31D2A" w:rsidP="0049256E">
      <w:pPr>
        <w:pStyle w:val="Fodnotetekst"/>
      </w:pPr>
      <w:r>
        <w:rPr>
          <w:rStyle w:val="Fodnotehenvisning"/>
        </w:rPr>
        <w:footnoteRef/>
      </w:r>
      <w:r>
        <w:t xml:space="preserve"> Dvs. således at ændringen træder i kraft straks den er registreret, eller evt. således at ændringen først træder i kraft på en bestemt dato i fremtiden.</w:t>
      </w:r>
    </w:p>
  </w:footnote>
  <w:footnote w:id="6">
    <w:p w:rsidR="00A31D2A" w:rsidRDefault="00A31D2A" w:rsidP="00BC0262">
      <w:pPr>
        <w:pStyle w:val="Fodnotetekst"/>
      </w:pPr>
      <w:r>
        <w:rPr>
          <w:rStyle w:val="Fodnotehenvisning"/>
        </w:rPr>
        <w:footnoteRef/>
      </w:r>
      <w:r>
        <w:t xml:space="preserve"> De nuværende supplerende bynavne i CPR indeholder i visse tilfælde betegnelser som ikke er et stednavn, fx ”kommunale ejendomme” eller ”Ukendt”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2A" w:rsidRDefault="007339C6" w:rsidP="0038207E">
    <w:pPr>
      <w:pStyle w:val="Sidehoved"/>
      <w:tabs>
        <w:tab w:val="right" w:pos="9072"/>
      </w:tabs>
    </w:pPr>
    <w:r>
      <w:rPr>
        <w:noProof/>
        <w:lang w:eastAsia="da-DK"/>
      </w:rPr>
      <w:drawing>
        <wp:inline distT="0" distB="0" distL="0" distR="0">
          <wp:extent cx="1514475" cy="666750"/>
          <wp:effectExtent l="0" t="0" r="9525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1D2A">
      <w:tab/>
    </w:r>
    <w:r w:rsidR="00A31D2A">
      <w:tab/>
    </w: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3834765</wp:posOffset>
          </wp:positionH>
          <wp:positionV relativeFrom="page">
            <wp:posOffset>410210</wp:posOffset>
          </wp:positionV>
          <wp:extent cx="1663065" cy="511175"/>
          <wp:effectExtent l="0" t="0" r="0" b="317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F01F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D6C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F"/>
    <w:multiLevelType w:val="singleLevel"/>
    <w:tmpl w:val="8D209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0"/>
    <w:multiLevelType w:val="singleLevel"/>
    <w:tmpl w:val="0994E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692EA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C16E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8125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5894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FFB8F9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8A5590C"/>
    <w:multiLevelType w:val="multilevel"/>
    <w:tmpl w:val="6A84CDDE"/>
    <w:lvl w:ilvl="0">
      <w:start w:val="1"/>
      <w:numFmt w:val="decimal"/>
      <w:lvlText w:val="%1"/>
      <w:lvlJc w:val="left"/>
      <w:pPr>
        <w:tabs>
          <w:tab w:val="num" w:pos="-40"/>
        </w:tabs>
        <w:ind w:left="-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40"/>
        </w:tabs>
        <w:ind w:left="-4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cs="Times New Roman" w:hint="default"/>
      </w:rPr>
    </w:lvl>
  </w:abstractNum>
  <w:abstractNum w:abstractNumId="10">
    <w:nsid w:val="14CA3389"/>
    <w:multiLevelType w:val="multilevel"/>
    <w:tmpl w:val="BEC2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90098"/>
    <w:multiLevelType w:val="multilevel"/>
    <w:tmpl w:val="EC34284E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2">
    <w:nsid w:val="231E5F38"/>
    <w:multiLevelType w:val="hybridMultilevel"/>
    <w:tmpl w:val="8668BC82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59F4744"/>
    <w:multiLevelType w:val="multilevel"/>
    <w:tmpl w:val="6A84CDDE"/>
    <w:lvl w:ilvl="0">
      <w:start w:val="1"/>
      <w:numFmt w:val="decimal"/>
      <w:lvlText w:val="%1"/>
      <w:lvlJc w:val="left"/>
      <w:pPr>
        <w:tabs>
          <w:tab w:val="num" w:pos="-40"/>
        </w:tabs>
        <w:ind w:left="-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40"/>
        </w:tabs>
        <w:ind w:left="-4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cs="Times New Roman" w:hint="default"/>
      </w:rPr>
    </w:lvl>
  </w:abstractNum>
  <w:abstractNum w:abstractNumId="14">
    <w:nsid w:val="408D234B"/>
    <w:multiLevelType w:val="hybridMultilevel"/>
    <w:tmpl w:val="4810F1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B37B9A"/>
    <w:multiLevelType w:val="hybridMultilevel"/>
    <w:tmpl w:val="4D60DB42"/>
    <w:lvl w:ilvl="0" w:tplc="0406000F">
      <w:start w:val="1"/>
      <w:numFmt w:val="bullet"/>
      <w:pStyle w:val="Opstilling-punktteg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16B4F"/>
    <w:multiLevelType w:val="multilevel"/>
    <w:tmpl w:val="55E47F0A"/>
    <w:lvl w:ilvl="0">
      <w:start w:val="1"/>
      <w:numFmt w:val="decimal"/>
      <w:pStyle w:val="Overskrift1"/>
      <w:lvlText w:val="%1"/>
      <w:lvlJc w:val="left"/>
      <w:pPr>
        <w:tabs>
          <w:tab w:val="num" w:pos="-40"/>
        </w:tabs>
        <w:ind w:left="-720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-40"/>
        </w:tabs>
        <w:ind w:left="-40" w:hanging="680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440"/>
        </w:tabs>
        <w:ind w:left="504" w:hanging="504"/>
      </w:pPr>
      <w:rPr>
        <w:rFonts w:cs="Times New Roman" w:hint="default"/>
      </w:rPr>
    </w:lvl>
    <w:lvl w:ilvl="3">
      <w:start w:val="1"/>
      <w:numFmt w:val="decimal"/>
      <w:pStyle w:val="Overskrift4"/>
      <w:lvlText w:val="%1.%2.%3.%4."/>
      <w:lvlJc w:val="left"/>
      <w:pPr>
        <w:tabs>
          <w:tab w:val="num" w:pos="216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cs="Times New Roman" w:hint="default"/>
      </w:rPr>
    </w:lvl>
  </w:abstractNum>
  <w:abstractNum w:abstractNumId="17">
    <w:nsid w:val="602663DA"/>
    <w:multiLevelType w:val="hybridMultilevel"/>
    <w:tmpl w:val="FCC46F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32CC4"/>
    <w:multiLevelType w:val="hybridMultilevel"/>
    <w:tmpl w:val="BEC2B2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F2485D"/>
    <w:multiLevelType w:val="hybridMultilevel"/>
    <w:tmpl w:val="CD889776"/>
    <w:lvl w:ilvl="0" w:tplc="04060001">
      <w:start w:val="1"/>
      <w:numFmt w:val="bullet"/>
      <w:pStyle w:val="BodyQuote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0F0066"/>
    <w:multiLevelType w:val="multilevel"/>
    <w:tmpl w:val="14D82858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1">
    <w:nsid w:val="72B96569"/>
    <w:multiLevelType w:val="multilevel"/>
    <w:tmpl w:val="EC34284E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8"/>
  </w:num>
  <w:num w:numId="4">
    <w:abstractNumId w:val="6"/>
  </w:num>
  <w:num w:numId="5">
    <w:abstractNumId w:val="8"/>
  </w:num>
  <w:num w:numId="6">
    <w:abstractNumId w:val="6"/>
  </w:num>
  <w:num w:numId="7">
    <w:abstractNumId w:val="8"/>
  </w:num>
  <w:num w:numId="8">
    <w:abstractNumId w:val="6"/>
  </w:num>
  <w:num w:numId="9">
    <w:abstractNumId w:val="8"/>
  </w:num>
  <w:num w:numId="10">
    <w:abstractNumId w:val="6"/>
  </w:num>
  <w:num w:numId="11">
    <w:abstractNumId w:val="8"/>
  </w:num>
  <w:num w:numId="12">
    <w:abstractNumId w:val="6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7"/>
  </w:num>
  <w:num w:numId="25">
    <w:abstractNumId w:val="12"/>
  </w:num>
  <w:num w:numId="26">
    <w:abstractNumId w:val="15"/>
  </w:num>
  <w:num w:numId="27">
    <w:abstractNumId w:val="8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7"/>
  </w:num>
  <w:num w:numId="33">
    <w:abstractNumId w:val="2"/>
  </w:num>
  <w:num w:numId="34">
    <w:abstractNumId w:val="16"/>
  </w:num>
  <w:num w:numId="35">
    <w:abstractNumId w:val="1"/>
  </w:num>
  <w:num w:numId="36">
    <w:abstractNumId w:val="0"/>
  </w:num>
  <w:num w:numId="37">
    <w:abstractNumId w:val="21"/>
  </w:num>
  <w:num w:numId="38">
    <w:abstractNumId w:val="9"/>
  </w:num>
  <w:num w:numId="39">
    <w:abstractNumId w:val="13"/>
  </w:num>
  <w:num w:numId="40">
    <w:abstractNumId w:val="20"/>
  </w:num>
  <w:num w:numId="41">
    <w:abstractNumId w:val="11"/>
  </w:num>
  <w:num w:numId="42">
    <w:abstractNumId w:val="19"/>
  </w:num>
  <w:num w:numId="43">
    <w:abstractNumId w:val="18"/>
  </w:num>
  <w:num w:numId="44">
    <w:abstractNumId w:val="10"/>
  </w:num>
  <w:num w:numId="45">
    <w:abstractNumId w:val="14"/>
  </w:num>
  <w:num w:numId="46">
    <w:abstractNumId w:val="21"/>
  </w:num>
  <w:num w:numId="47">
    <w:abstractNumId w:val="21"/>
  </w:num>
  <w:num w:numId="48">
    <w:abstractNumId w:val="21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DB"/>
    <w:rsid w:val="0000136E"/>
    <w:rsid w:val="000039BB"/>
    <w:rsid w:val="00016CE4"/>
    <w:rsid w:val="0001715E"/>
    <w:rsid w:val="00022C22"/>
    <w:rsid w:val="00023883"/>
    <w:rsid w:val="00023A97"/>
    <w:rsid w:val="00027643"/>
    <w:rsid w:val="00030D8D"/>
    <w:rsid w:val="00034A9B"/>
    <w:rsid w:val="00035DCB"/>
    <w:rsid w:val="00037171"/>
    <w:rsid w:val="00044159"/>
    <w:rsid w:val="00045906"/>
    <w:rsid w:val="000533F3"/>
    <w:rsid w:val="000537E7"/>
    <w:rsid w:val="0005678A"/>
    <w:rsid w:val="00071DBE"/>
    <w:rsid w:val="00074B53"/>
    <w:rsid w:val="0007519F"/>
    <w:rsid w:val="00075372"/>
    <w:rsid w:val="000810C7"/>
    <w:rsid w:val="00082031"/>
    <w:rsid w:val="0008727A"/>
    <w:rsid w:val="000876B9"/>
    <w:rsid w:val="00091405"/>
    <w:rsid w:val="00093DC0"/>
    <w:rsid w:val="00094E7B"/>
    <w:rsid w:val="000A0737"/>
    <w:rsid w:val="000A375E"/>
    <w:rsid w:val="000A4577"/>
    <w:rsid w:val="000A5F81"/>
    <w:rsid w:val="000A60F1"/>
    <w:rsid w:val="000A7892"/>
    <w:rsid w:val="000B1BBF"/>
    <w:rsid w:val="000B1D93"/>
    <w:rsid w:val="000B2432"/>
    <w:rsid w:val="000B30A4"/>
    <w:rsid w:val="000C01B4"/>
    <w:rsid w:val="000C01FA"/>
    <w:rsid w:val="000C06CD"/>
    <w:rsid w:val="000C1690"/>
    <w:rsid w:val="000D35A1"/>
    <w:rsid w:val="000D55A4"/>
    <w:rsid w:val="000E4015"/>
    <w:rsid w:val="000F14E6"/>
    <w:rsid w:val="000F61B9"/>
    <w:rsid w:val="000F67CD"/>
    <w:rsid w:val="00100EE5"/>
    <w:rsid w:val="00101839"/>
    <w:rsid w:val="00102964"/>
    <w:rsid w:val="00105859"/>
    <w:rsid w:val="001079AD"/>
    <w:rsid w:val="00107A6A"/>
    <w:rsid w:val="00110390"/>
    <w:rsid w:val="00110C58"/>
    <w:rsid w:val="00111DE8"/>
    <w:rsid w:val="001155DA"/>
    <w:rsid w:val="001270BA"/>
    <w:rsid w:val="00135F69"/>
    <w:rsid w:val="00140E3E"/>
    <w:rsid w:val="0014710A"/>
    <w:rsid w:val="00147B85"/>
    <w:rsid w:val="001503FE"/>
    <w:rsid w:val="00153ED2"/>
    <w:rsid w:val="001558A0"/>
    <w:rsid w:val="00161776"/>
    <w:rsid w:val="00163185"/>
    <w:rsid w:val="00163AD4"/>
    <w:rsid w:val="00165999"/>
    <w:rsid w:val="0017104D"/>
    <w:rsid w:val="00175EF9"/>
    <w:rsid w:val="00177C96"/>
    <w:rsid w:val="00190D84"/>
    <w:rsid w:val="001919B6"/>
    <w:rsid w:val="00195C41"/>
    <w:rsid w:val="00196628"/>
    <w:rsid w:val="00197924"/>
    <w:rsid w:val="001A01E6"/>
    <w:rsid w:val="001A035F"/>
    <w:rsid w:val="001A14A3"/>
    <w:rsid w:val="001A1B42"/>
    <w:rsid w:val="001A2EF8"/>
    <w:rsid w:val="001A647E"/>
    <w:rsid w:val="001A7245"/>
    <w:rsid w:val="001B2986"/>
    <w:rsid w:val="001B39C1"/>
    <w:rsid w:val="001B4351"/>
    <w:rsid w:val="001B45B1"/>
    <w:rsid w:val="001C3C68"/>
    <w:rsid w:val="001D22D1"/>
    <w:rsid w:val="001D64BD"/>
    <w:rsid w:val="001F2A15"/>
    <w:rsid w:val="001F444E"/>
    <w:rsid w:val="001F4937"/>
    <w:rsid w:val="001F703E"/>
    <w:rsid w:val="001F731A"/>
    <w:rsid w:val="001F7FE0"/>
    <w:rsid w:val="002028B4"/>
    <w:rsid w:val="00203AC0"/>
    <w:rsid w:val="00211C11"/>
    <w:rsid w:val="00211CD7"/>
    <w:rsid w:val="002142CA"/>
    <w:rsid w:val="00222EEF"/>
    <w:rsid w:val="00223085"/>
    <w:rsid w:val="00223F39"/>
    <w:rsid w:val="0022475A"/>
    <w:rsid w:val="00225D9E"/>
    <w:rsid w:val="00231DB8"/>
    <w:rsid w:val="00232693"/>
    <w:rsid w:val="0023475F"/>
    <w:rsid w:val="00235450"/>
    <w:rsid w:val="00236668"/>
    <w:rsid w:val="002374DA"/>
    <w:rsid w:val="002417AA"/>
    <w:rsid w:val="00242252"/>
    <w:rsid w:val="00242D4D"/>
    <w:rsid w:val="00243709"/>
    <w:rsid w:val="00252732"/>
    <w:rsid w:val="00252FBB"/>
    <w:rsid w:val="002530F6"/>
    <w:rsid w:val="0025416F"/>
    <w:rsid w:val="002611C7"/>
    <w:rsid w:val="00262AB3"/>
    <w:rsid w:val="00263B49"/>
    <w:rsid w:val="00266566"/>
    <w:rsid w:val="0026657E"/>
    <w:rsid w:val="00266C35"/>
    <w:rsid w:val="002715C7"/>
    <w:rsid w:val="002723AA"/>
    <w:rsid w:val="00273F4D"/>
    <w:rsid w:val="0027592D"/>
    <w:rsid w:val="0028315E"/>
    <w:rsid w:val="002831BD"/>
    <w:rsid w:val="002878A4"/>
    <w:rsid w:val="0029054C"/>
    <w:rsid w:val="00290C30"/>
    <w:rsid w:val="00292806"/>
    <w:rsid w:val="00292F71"/>
    <w:rsid w:val="00296196"/>
    <w:rsid w:val="002A1119"/>
    <w:rsid w:val="002A174F"/>
    <w:rsid w:val="002A3E50"/>
    <w:rsid w:val="002A7370"/>
    <w:rsid w:val="002A73CD"/>
    <w:rsid w:val="002B0C70"/>
    <w:rsid w:val="002B1734"/>
    <w:rsid w:val="002B3729"/>
    <w:rsid w:val="002B4BD3"/>
    <w:rsid w:val="002B69C7"/>
    <w:rsid w:val="002C7706"/>
    <w:rsid w:val="002D0152"/>
    <w:rsid w:val="002D09E9"/>
    <w:rsid w:val="002D42A8"/>
    <w:rsid w:val="002D4478"/>
    <w:rsid w:val="002D63DB"/>
    <w:rsid w:val="002D742F"/>
    <w:rsid w:val="002D7CCF"/>
    <w:rsid w:val="002E0EF5"/>
    <w:rsid w:val="002E12B0"/>
    <w:rsid w:val="002E1E32"/>
    <w:rsid w:val="002E24E6"/>
    <w:rsid w:val="002E7801"/>
    <w:rsid w:val="002E7A7A"/>
    <w:rsid w:val="002F202D"/>
    <w:rsid w:val="002F3B24"/>
    <w:rsid w:val="002F424C"/>
    <w:rsid w:val="003024C2"/>
    <w:rsid w:val="00303403"/>
    <w:rsid w:val="0030362E"/>
    <w:rsid w:val="00303B6D"/>
    <w:rsid w:val="00304B51"/>
    <w:rsid w:val="00305134"/>
    <w:rsid w:val="003115DB"/>
    <w:rsid w:val="00313677"/>
    <w:rsid w:val="00323A8C"/>
    <w:rsid w:val="0032520B"/>
    <w:rsid w:val="00327846"/>
    <w:rsid w:val="00332AFE"/>
    <w:rsid w:val="003362B7"/>
    <w:rsid w:val="00360021"/>
    <w:rsid w:val="0036099F"/>
    <w:rsid w:val="00362397"/>
    <w:rsid w:val="00362EFC"/>
    <w:rsid w:val="0036314D"/>
    <w:rsid w:val="0036538E"/>
    <w:rsid w:val="00374DEC"/>
    <w:rsid w:val="00376ADF"/>
    <w:rsid w:val="003770B0"/>
    <w:rsid w:val="00377AF7"/>
    <w:rsid w:val="0038207E"/>
    <w:rsid w:val="00382255"/>
    <w:rsid w:val="00383376"/>
    <w:rsid w:val="00384AC4"/>
    <w:rsid w:val="0038584F"/>
    <w:rsid w:val="0038617D"/>
    <w:rsid w:val="00387DAC"/>
    <w:rsid w:val="00390397"/>
    <w:rsid w:val="00394A6C"/>
    <w:rsid w:val="00395177"/>
    <w:rsid w:val="00397816"/>
    <w:rsid w:val="00397DB5"/>
    <w:rsid w:val="003A055E"/>
    <w:rsid w:val="003A0CA7"/>
    <w:rsid w:val="003A10A1"/>
    <w:rsid w:val="003A1F7C"/>
    <w:rsid w:val="003A4D24"/>
    <w:rsid w:val="003A5EE3"/>
    <w:rsid w:val="003B2D97"/>
    <w:rsid w:val="003B5C92"/>
    <w:rsid w:val="003D102F"/>
    <w:rsid w:val="003E1064"/>
    <w:rsid w:val="003E1BAC"/>
    <w:rsid w:val="003E5D23"/>
    <w:rsid w:val="003E7D82"/>
    <w:rsid w:val="003F2FCA"/>
    <w:rsid w:val="003F35CE"/>
    <w:rsid w:val="003F4566"/>
    <w:rsid w:val="003F622A"/>
    <w:rsid w:val="0040188C"/>
    <w:rsid w:val="00403761"/>
    <w:rsid w:val="004038C1"/>
    <w:rsid w:val="004043C3"/>
    <w:rsid w:val="0040581F"/>
    <w:rsid w:val="004107CF"/>
    <w:rsid w:val="00411B75"/>
    <w:rsid w:val="00413838"/>
    <w:rsid w:val="00416E2F"/>
    <w:rsid w:val="00417300"/>
    <w:rsid w:val="004210C8"/>
    <w:rsid w:val="00426203"/>
    <w:rsid w:val="00427350"/>
    <w:rsid w:val="00430373"/>
    <w:rsid w:val="00433310"/>
    <w:rsid w:val="00436513"/>
    <w:rsid w:val="00441B06"/>
    <w:rsid w:val="00452697"/>
    <w:rsid w:val="00453006"/>
    <w:rsid w:val="004568BA"/>
    <w:rsid w:val="004666C2"/>
    <w:rsid w:val="0047283B"/>
    <w:rsid w:val="004754B2"/>
    <w:rsid w:val="00476810"/>
    <w:rsid w:val="0048070D"/>
    <w:rsid w:val="0048115B"/>
    <w:rsid w:val="00481C5D"/>
    <w:rsid w:val="004828CA"/>
    <w:rsid w:val="00484115"/>
    <w:rsid w:val="004859AD"/>
    <w:rsid w:val="0049256E"/>
    <w:rsid w:val="00494851"/>
    <w:rsid w:val="004A12C3"/>
    <w:rsid w:val="004A1DF9"/>
    <w:rsid w:val="004A41E4"/>
    <w:rsid w:val="004B0D9B"/>
    <w:rsid w:val="004B2498"/>
    <w:rsid w:val="004B5F9C"/>
    <w:rsid w:val="004C2294"/>
    <w:rsid w:val="004C376A"/>
    <w:rsid w:val="004C4E07"/>
    <w:rsid w:val="004C62F4"/>
    <w:rsid w:val="004D17A5"/>
    <w:rsid w:val="004D21EE"/>
    <w:rsid w:val="004D66DD"/>
    <w:rsid w:val="004D6DD4"/>
    <w:rsid w:val="004E43FA"/>
    <w:rsid w:val="004E47A5"/>
    <w:rsid w:val="004E4D78"/>
    <w:rsid w:val="004E6192"/>
    <w:rsid w:val="004E63D3"/>
    <w:rsid w:val="004E6498"/>
    <w:rsid w:val="004F1604"/>
    <w:rsid w:val="004F2723"/>
    <w:rsid w:val="004F327F"/>
    <w:rsid w:val="004F37C5"/>
    <w:rsid w:val="004F3F14"/>
    <w:rsid w:val="004F62AE"/>
    <w:rsid w:val="004F6F80"/>
    <w:rsid w:val="004F70D2"/>
    <w:rsid w:val="00501FE6"/>
    <w:rsid w:val="00505C70"/>
    <w:rsid w:val="00510041"/>
    <w:rsid w:val="005157D4"/>
    <w:rsid w:val="0051627E"/>
    <w:rsid w:val="00522256"/>
    <w:rsid w:val="0052342F"/>
    <w:rsid w:val="00531C6A"/>
    <w:rsid w:val="005424FB"/>
    <w:rsid w:val="00542880"/>
    <w:rsid w:val="005442C1"/>
    <w:rsid w:val="0054645F"/>
    <w:rsid w:val="00552032"/>
    <w:rsid w:val="00553963"/>
    <w:rsid w:val="00560A1D"/>
    <w:rsid w:val="00561EC2"/>
    <w:rsid w:val="00563E41"/>
    <w:rsid w:val="005712B2"/>
    <w:rsid w:val="00573680"/>
    <w:rsid w:val="00573D98"/>
    <w:rsid w:val="00574E68"/>
    <w:rsid w:val="00582C2B"/>
    <w:rsid w:val="00584755"/>
    <w:rsid w:val="005936EC"/>
    <w:rsid w:val="005941DD"/>
    <w:rsid w:val="00595337"/>
    <w:rsid w:val="00595ACA"/>
    <w:rsid w:val="005A3056"/>
    <w:rsid w:val="005A4BEE"/>
    <w:rsid w:val="005A7CF9"/>
    <w:rsid w:val="005B1593"/>
    <w:rsid w:val="005B1A65"/>
    <w:rsid w:val="005B5C90"/>
    <w:rsid w:val="005B6D27"/>
    <w:rsid w:val="005B797B"/>
    <w:rsid w:val="005C0211"/>
    <w:rsid w:val="005C4215"/>
    <w:rsid w:val="005C5602"/>
    <w:rsid w:val="005C6E89"/>
    <w:rsid w:val="005D0ED9"/>
    <w:rsid w:val="005D221A"/>
    <w:rsid w:val="005D53F5"/>
    <w:rsid w:val="005D7887"/>
    <w:rsid w:val="005D7FE5"/>
    <w:rsid w:val="005E22A0"/>
    <w:rsid w:val="005E234F"/>
    <w:rsid w:val="005E2E86"/>
    <w:rsid w:val="005E7798"/>
    <w:rsid w:val="005F6394"/>
    <w:rsid w:val="005F7B93"/>
    <w:rsid w:val="006100F9"/>
    <w:rsid w:val="00612398"/>
    <w:rsid w:val="006204A0"/>
    <w:rsid w:val="00621F07"/>
    <w:rsid w:val="00622648"/>
    <w:rsid w:val="00624049"/>
    <w:rsid w:val="00626A49"/>
    <w:rsid w:val="006277B9"/>
    <w:rsid w:val="00631022"/>
    <w:rsid w:val="00633BE3"/>
    <w:rsid w:val="00637FD7"/>
    <w:rsid w:val="00641C8E"/>
    <w:rsid w:val="00642AD3"/>
    <w:rsid w:val="006433F7"/>
    <w:rsid w:val="00645499"/>
    <w:rsid w:val="00645665"/>
    <w:rsid w:val="00645E03"/>
    <w:rsid w:val="0065002E"/>
    <w:rsid w:val="006543CB"/>
    <w:rsid w:val="0065765D"/>
    <w:rsid w:val="006647A1"/>
    <w:rsid w:val="0066622B"/>
    <w:rsid w:val="00670F07"/>
    <w:rsid w:val="00671FE4"/>
    <w:rsid w:val="0067754C"/>
    <w:rsid w:val="00683941"/>
    <w:rsid w:val="00685650"/>
    <w:rsid w:val="006870C4"/>
    <w:rsid w:val="006879CA"/>
    <w:rsid w:val="0069006B"/>
    <w:rsid w:val="006A0145"/>
    <w:rsid w:val="006A4460"/>
    <w:rsid w:val="006A47BD"/>
    <w:rsid w:val="006A54F4"/>
    <w:rsid w:val="006B0D76"/>
    <w:rsid w:val="006B5B84"/>
    <w:rsid w:val="006B5E1F"/>
    <w:rsid w:val="006C1A2B"/>
    <w:rsid w:val="006C24E4"/>
    <w:rsid w:val="006C49BA"/>
    <w:rsid w:val="006D0196"/>
    <w:rsid w:val="006D303D"/>
    <w:rsid w:val="006D4933"/>
    <w:rsid w:val="006D69E8"/>
    <w:rsid w:val="006E2548"/>
    <w:rsid w:val="006E3342"/>
    <w:rsid w:val="006E3CA4"/>
    <w:rsid w:val="006E75D6"/>
    <w:rsid w:val="006F0C17"/>
    <w:rsid w:val="006F54FC"/>
    <w:rsid w:val="006F67E1"/>
    <w:rsid w:val="006F6901"/>
    <w:rsid w:val="006F6C00"/>
    <w:rsid w:val="006F6EB3"/>
    <w:rsid w:val="00700DC9"/>
    <w:rsid w:val="00703DC5"/>
    <w:rsid w:val="00706270"/>
    <w:rsid w:val="00710055"/>
    <w:rsid w:val="007139CB"/>
    <w:rsid w:val="00714FBE"/>
    <w:rsid w:val="00717A4B"/>
    <w:rsid w:val="00717A4C"/>
    <w:rsid w:val="00724544"/>
    <w:rsid w:val="00726355"/>
    <w:rsid w:val="007268FA"/>
    <w:rsid w:val="007339C6"/>
    <w:rsid w:val="00736A50"/>
    <w:rsid w:val="00736A84"/>
    <w:rsid w:val="00741CB4"/>
    <w:rsid w:val="00744B75"/>
    <w:rsid w:val="00755F89"/>
    <w:rsid w:val="007617EA"/>
    <w:rsid w:val="0077206D"/>
    <w:rsid w:val="00772167"/>
    <w:rsid w:val="00772220"/>
    <w:rsid w:val="0077279B"/>
    <w:rsid w:val="00772BCD"/>
    <w:rsid w:val="00774992"/>
    <w:rsid w:val="00776D2D"/>
    <w:rsid w:val="0078560B"/>
    <w:rsid w:val="00792DF5"/>
    <w:rsid w:val="00797DCD"/>
    <w:rsid w:val="007A2FA8"/>
    <w:rsid w:val="007A75EF"/>
    <w:rsid w:val="007C032B"/>
    <w:rsid w:val="007C0BD4"/>
    <w:rsid w:val="007C2FB9"/>
    <w:rsid w:val="007C3550"/>
    <w:rsid w:val="007D241B"/>
    <w:rsid w:val="007D2C8E"/>
    <w:rsid w:val="007D6C20"/>
    <w:rsid w:val="007D7491"/>
    <w:rsid w:val="007E06CC"/>
    <w:rsid w:val="007E0B32"/>
    <w:rsid w:val="007E196A"/>
    <w:rsid w:val="007E2AEE"/>
    <w:rsid w:val="007E622F"/>
    <w:rsid w:val="007F0DA3"/>
    <w:rsid w:val="007F0DCF"/>
    <w:rsid w:val="007F19DC"/>
    <w:rsid w:val="007F1F26"/>
    <w:rsid w:val="007F606A"/>
    <w:rsid w:val="007F6492"/>
    <w:rsid w:val="007F7844"/>
    <w:rsid w:val="0080089B"/>
    <w:rsid w:val="00813ED2"/>
    <w:rsid w:val="008152D9"/>
    <w:rsid w:val="00815CB1"/>
    <w:rsid w:val="0081670A"/>
    <w:rsid w:val="00816F70"/>
    <w:rsid w:val="008202EF"/>
    <w:rsid w:val="00821AE2"/>
    <w:rsid w:val="00821BFF"/>
    <w:rsid w:val="00821F81"/>
    <w:rsid w:val="008279DB"/>
    <w:rsid w:val="00832898"/>
    <w:rsid w:val="00835B19"/>
    <w:rsid w:val="008379AA"/>
    <w:rsid w:val="00841982"/>
    <w:rsid w:val="008451D0"/>
    <w:rsid w:val="00846722"/>
    <w:rsid w:val="00847229"/>
    <w:rsid w:val="0085303F"/>
    <w:rsid w:val="00853ABE"/>
    <w:rsid w:val="00853B5A"/>
    <w:rsid w:val="00854259"/>
    <w:rsid w:val="00854D17"/>
    <w:rsid w:val="008555AA"/>
    <w:rsid w:val="0085672A"/>
    <w:rsid w:val="0085707B"/>
    <w:rsid w:val="00860E31"/>
    <w:rsid w:val="0086266C"/>
    <w:rsid w:val="008632B6"/>
    <w:rsid w:val="00866AE6"/>
    <w:rsid w:val="00867625"/>
    <w:rsid w:val="00871BD4"/>
    <w:rsid w:val="00872372"/>
    <w:rsid w:val="0087250D"/>
    <w:rsid w:val="0087294A"/>
    <w:rsid w:val="00877684"/>
    <w:rsid w:val="00880C97"/>
    <w:rsid w:val="00885637"/>
    <w:rsid w:val="0089138A"/>
    <w:rsid w:val="00891639"/>
    <w:rsid w:val="00895243"/>
    <w:rsid w:val="00895D61"/>
    <w:rsid w:val="008A3F83"/>
    <w:rsid w:val="008A4C00"/>
    <w:rsid w:val="008A543C"/>
    <w:rsid w:val="008A5CCB"/>
    <w:rsid w:val="008A6D93"/>
    <w:rsid w:val="008B05C6"/>
    <w:rsid w:val="008B5296"/>
    <w:rsid w:val="008B5310"/>
    <w:rsid w:val="008B5ABE"/>
    <w:rsid w:val="008B6EF1"/>
    <w:rsid w:val="008B7A48"/>
    <w:rsid w:val="008C0B55"/>
    <w:rsid w:val="008C1095"/>
    <w:rsid w:val="008C3C77"/>
    <w:rsid w:val="008C5886"/>
    <w:rsid w:val="008C67AB"/>
    <w:rsid w:val="008C7113"/>
    <w:rsid w:val="008D0F8A"/>
    <w:rsid w:val="008D14D1"/>
    <w:rsid w:val="008D26F0"/>
    <w:rsid w:val="008D4987"/>
    <w:rsid w:val="008E1E9C"/>
    <w:rsid w:val="008E25E0"/>
    <w:rsid w:val="008E327F"/>
    <w:rsid w:val="008E51B3"/>
    <w:rsid w:val="008E5B29"/>
    <w:rsid w:val="008E7DA1"/>
    <w:rsid w:val="008F1953"/>
    <w:rsid w:val="008F1C90"/>
    <w:rsid w:val="008F2520"/>
    <w:rsid w:val="008F3AFD"/>
    <w:rsid w:val="008F58E6"/>
    <w:rsid w:val="00900B33"/>
    <w:rsid w:val="00901D4F"/>
    <w:rsid w:val="00905994"/>
    <w:rsid w:val="00911EB4"/>
    <w:rsid w:val="00912975"/>
    <w:rsid w:val="00912E06"/>
    <w:rsid w:val="00915CC6"/>
    <w:rsid w:val="0091629E"/>
    <w:rsid w:val="00922963"/>
    <w:rsid w:val="009239B6"/>
    <w:rsid w:val="009276A9"/>
    <w:rsid w:val="00927DE8"/>
    <w:rsid w:val="0094025E"/>
    <w:rsid w:val="00943559"/>
    <w:rsid w:val="00944855"/>
    <w:rsid w:val="00945712"/>
    <w:rsid w:val="00947FAF"/>
    <w:rsid w:val="0095543F"/>
    <w:rsid w:val="00955F1D"/>
    <w:rsid w:val="00957850"/>
    <w:rsid w:val="00961E04"/>
    <w:rsid w:val="00963BC6"/>
    <w:rsid w:val="009650A5"/>
    <w:rsid w:val="009716C8"/>
    <w:rsid w:val="009819D4"/>
    <w:rsid w:val="00983304"/>
    <w:rsid w:val="009835A1"/>
    <w:rsid w:val="00984C28"/>
    <w:rsid w:val="00984E1F"/>
    <w:rsid w:val="00990F66"/>
    <w:rsid w:val="009915D5"/>
    <w:rsid w:val="009937CE"/>
    <w:rsid w:val="009938A0"/>
    <w:rsid w:val="00994D4D"/>
    <w:rsid w:val="009A4C06"/>
    <w:rsid w:val="009A6892"/>
    <w:rsid w:val="009B0A02"/>
    <w:rsid w:val="009B4A00"/>
    <w:rsid w:val="009B565A"/>
    <w:rsid w:val="009B6749"/>
    <w:rsid w:val="009C4869"/>
    <w:rsid w:val="009C5049"/>
    <w:rsid w:val="009C7285"/>
    <w:rsid w:val="009D47BE"/>
    <w:rsid w:val="009E1D18"/>
    <w:rsid w:val="009E2568"/>
    <w:rsid w:val="009E37DE"/>
    <w:rsid w:val="009E3BAC"/>
    <w:rsid w:val="009F1530"/>
    <w:rsid w:val="009F3743"/>
    <w:rsid w:val="009F4B48"/>
    <w:rsid w:val="009F75DF"/>
    <w:rsid w:val="00A02A02"/>
    <w:rsid w:val="00A02EB7"/>
    <w:rsid w:val="00A03BF4"/>
    <w:rsid w:val="00A075E7"/>
    <w:rsid w:val="00A13C97"/>
    <w:rsid w:val="00A154CE"/>
    <w:rsid w:val="00A1636F"/>
    <w:rsid w:val="00A20004"/>
    <w:rsid w:val="00A222CE"/>
    <w:rsid w:val="00A23FA5"/>
    <w:rsid w:val="00A24FD4"/>
    <w:rsid w:val="00A26F10"/>
    <w:rsid w:val="00A27F49"/>
    <w:rsid w:val="00A31D2A"/>
    <w:rsid w:val="00A321E5"/>
    <w:rsid w:val="00A42036"/>
    <w:rsid w:val="00A43B37"/>
    <w:rsid w:val="00A444FA"/>
    <w:rsid w:val="00A47A92"/>
    <w:rsid w:val="00A56301"/>
    <w:rsid w:val="00A566EB"/>
    <w:rsid w:val="00A607F5"/>
    <w:rsid w:val="00A630A9"/>
    <w:rsid w:val="00A63A64"/>
    <w:rsid w:val="00A7157E"/>
    <w:rsid w:val="00A754EF"/>
    <w:rsid w:val="00A758DB"/>
    <w:rsid w:val="00A761B7"/>
    <w:rsid w:val="00A83DE6"/>
    <w:rsid w:val="00A84D7A"/>
    <w:rsid w:val="00A860BB"/>
    <w:rsid w:val="00A86A7F"/>
    <w:rsid w:val="00A87BED"/>
    <w:rsid w:val="00A957F1"/>
    <w:rsid w:val="00A9693B"/>
    <w:rsid w:val="00A975BD"/>
    <w:rsid w:val="00AA3C5C"/>
    <w:rsid w:val="00AA4F88"/>
    <w:rsid w:val="00AB2BFE"/>
    <w:rsid w:val="00AB3CD1"/>
    <w:rsid w:val="00AB4535"/>
    <w:rsid w:val="00AC5579"/>
    <w:rsid w:val="00AC7321"/>
    <w:rsid w:val="00AD0509"/>
    <w:rsid w:val="00AD0B13"/>
    <w:rsid w:val="00AD710B"/>
    <w:rsid w:val="00AD770D"/>
    <w:rsid w:val="00AE761A"/>
    <w:rsid w:val="00AE77C4"/>
    <w:rsid w:val="00AF1A8C"/>
    <w:rsid w:val="00AF2410"/>
    <w:rsid w:val="00AF305A"/>
    <w:rsid w:val="00AF4F28"/>
    <w:rsid w:val="00B02465"/>
    <w:rsid w:val="00B02C7E"/>
    <w:rsid w:val="00B06405"/>
    <w:rsid w:val="00B10526"/>
    <w:rsid w:val="00B1060D"/>
    <w:rsid w:val="00B11772"/>
    <w:rsid w:val="00B24063"/>
    <w:rsid w:val="00B27A2A"/>
    <w:rsid w:val="00B30A8D"/>
    <w:rsid w:val="00B34467"/>
    <w:rsid w:val="00B37846"/>
    <w:rsid w:val="00B40F41"/>
    <w:rsid w:val="00B42361"/>
    <w:rsid w:val="00B43887"/>
    <w:rsid w:val="00B44BBD"/>
    <w:rsid w:val="00B52F2D"/>
    <w:rsid w:val="00B5385B"/>
    <w:rsid w:val="00B578A1"/>
    <w:rsid w:val="00B57EBB"/>
    <w:rsid w:val="00B630C1"/>
    <w:rsid w:val="00B632E5"/>
    <w:rsid w:val="00B63656"/>
    <w:rsid w:val="00B6693A"/>
    <w:rsid w:val="00B7027F"/>
    <w:rsid w:val="00B72431"/>
    <w:rsid w:val="00B76408"/>
    <w:rsid w:val="00B85248"/>
    <w:rsid w:val="00B85BF3"/>
    <w:rsid w:val="00B91791"/>
    <w:rsid w:val="00B93373"/>
    <w:rsid w:val="00B96CB9"/>
    <w:rsid w:val="00BA6BB0"/>
    <w:rsid w:val="00BB579C"/>
    <w:rsid w:val="00BB6771"/>
    <w:rsid w:val="00BB6800"/>
    <w:rsid w:val="00BB6D1B"/>
    <w:rsid w:val="00BC0262"/>
    <w:rsid w:val="00BC2AFE"/>
    <w:rsid w:val="00BC3D7E"/>
    <w:rsid w:val="00BC44DD"/>
    <w:rsid w:val="00BC6696"/>
    <w:rsid w:val="00BD091D"/>
    <w:rsid w:val="00BD2125"/>
    <w:rsid w:val="00BD2E48"/>
    <w:rsid w:val="00BD2E86"/>
    <w:rsid w:val="00BE4671"/>
    <w:rsid w:val="00BE5210"/>
    <w:rsid w:val="00BE5607"/>
    <w:rsid w:val="00BE5DF9"/>
    <w:rsid w:val="00BF34E2"/>
    <w:rsid w:val="00BF5084"/>
    <w:rsid w:val="00BF7D00"/>
    <w:rsid w:val="00C01886"/>
    <w:rsid w:val="00C03158"/>
    <w:rsid w:val="00C06147"/>
    <w:rsid w:val="00C06983"/>
    <w:rsid w:val="00C117FF"/>
    <w:rsid w:val="00C138DD"/>
    <w:rsid w:val="00C14761"/>
    <w:rsid w:val="00C1580A"/>
    <w:rsid w:val="00C17E5D"/>
    <w:rsid w:val="00C23C38"/>
    <w:rsid w:val="00C26D74"/>
    <w:rsid w:val="00C26F2A"/>
    <w:rsid w:val="00C31272"/>
    <w:rsid w:val="00C32336"/>
    <w:rsid w:val="00C32522"/>
    <w:rsid w:val="00C4558C"/>
    <w:rsid w:val="00C45BE1"/>
    <w:rsid w:val="00C51E61"/>
    <w:rsid w:val="00C52F61"/>
    <w:rsid w:val="00C55144"/>
    <w:rsid w:val="00C60B37"/>
    <w:rsid w:val="00C6368D"/>
    <w:rsid w:val="00C63C3D"/>
    <w:rsid w:val="00C66391"/>
    <w:rsid w:val="00C678DC"/>
    <w:rsid w:val="00C7265B"/>
    <w:rsid w:val="00C7294F"/>
    <w:rsid w:val="00C74B83"/>
    <w:rsid w:val="00C75CBA"/>
    <w:rsid w:val="00C808BA"/>
    <w:rsid w:val="00C85FF6"/>
    <w:rsid w:val="00C8686C"/>
    <w:rsid w:val="00C86D77"/>
    <w:rsid w:val="00C913FA"/>
    <w:rsid w:val="00C92C6A"/>
    <w:rsid w:val="00C95720"/>
    <w:rsid w:val="00CA0CAA"/>
    <w:rsid w:val="00CA4FD5"/>
    <w:rsid w:val="00CA5745"/>
    <w:rsid w:val="00CA7169"/>
    <w:rsid w:val="00CB0118"/>
    <w:rsid w:val="00CB368D"/>
    <w:rsid w:val="00CB5BF9"/>
    <w:rsid w:val="00CB7577"/>
    <w:rsid w:val="00CC3447"/>
    <w:rsid w:val="00CC38EE"/>
    <w:rsid w:val="00CC3A18"/>
    <w:rsid w:val="00CC5675"/>
    <w:rsid w:val="00CD26A2"/>
    <w:rsid w:val="00CD62C9"/>
    <w:rsid w:val="00CE015E"/>
    <w:rsid w:val="00CE0C99"/>
    <w:rsid w:val="00CE1A2F"/>
    <w:rsid w:val="00CE2544"/>
    <w:rsid w:val="00CE3C82"/>
    <w:rsid w:val="00CE43EC"/>
    <w:rsid w:val="00CF0664"/>
    <w:rsid w:val="00CF3EFD"/>
    <w:rsid w:val="00CF4992"/>
    <w:rsid w:val="00CF620A"/>
    <w:rsid w:val="00D019FD"/>
    <w:rsid w:val="00D021CA"/>
    <w:rsid w:val="00D052E7"/>
    <w:rsid w:val="00D055F6"/>
    <w:rsid w:val="00D07D4A"/>
    <w:rsid w:val="00D10929"/>
    <w:rsid w:val="00D117F4"/>
    <w:rsid w:val="00D12DEA"/>
    <w:rsid w:val="00D150A2"/>
    <w:rsid w:val="00D165BE"/>
    <w:rsid w:val="00D1694D"/>
    <w:rsid w:val="00D171DD"/>
    <w:rsid w:val="00D2007C"/>
    <w:rsid w:val="00D21A9B"/>
    <w:rsid w:val="00D22F29"/>
    <w:rsid w:val="00D24D3C"/>
    <w:rsid w:val="00D2524F"/>
    <w:rsid w:val="00D27D95"/>
    <w:rsid w:val="00D30864"/>
    <w:rsid w:val="00D337A5"/>
    <w:rsid w:val="00D34827"/>
    <w:rsid w:val="00D34AF6"/>
    <w:rsid w:val="00D35ADB"/>
    <w:rsid w:val="00D428DD"/>
    <w:rsid w:val="00D4411F"/>
    <w:rsid w:val="00D45F8D"/>
    <w:rsid w:val="00D5013D"/>
    <w:rsid w:val="00D5447F"/>
    <w:rsid w:val="00D54C17"/>
    <w:rsid w:val="00D61FE2"/>
    <w:rsid w:val="00D65680"/>
    <w:rsid w:val="00D673E0"/>
    <w:rsid w:val="00D81B88"/>
    <w:rsid w:val="00D863D4"/>
    <w:rsid w:val="00D90085"/>
    <w:rsid w:val="00D96260"/>
    <w:rsid w:val="00DA1876"/>
    <w:rsid w:val="00DA22A5"/>
    <w:rsid w:val="00DA30CD"/>
    <w:rsid w:val="00DA4615"/>
    <w:rsid w:val="00DB00F0"/>
    <w:rsid w:val="00DB07E1"/>
    <w:rsid w:val="00DB121D"/>
    <w:rsid w:val="00DB1D7A"/>
    <w:rsid w:val="00DB35D4"/>
    <w:rsid w:val="00DB3D89"/>
    <w:rsid w:val="00DB554F"/>
    <w:rsid w:val="00DB5560"/>
    <w:rsid w:val="00DC1C0E"/>
    <w:rsid w:val="00DC53EB"/>
    <w:rsid w:val="00DC6E8D"/>
    <w:rsid w:val="00DD0C81"/>
    <w:rsid w:val="00DD1A1F"/>
    <w:rsid w:val="00DE0FA8"/>
    <w:rsid w:val="00DE2403"/>
    <w:rsid w:val="00DE7624"/>
    <w:rsid w:val="00DF584A"/>
    <w:rsid w:val="00E02F38"/>
    <w:rsid w:val="00E0360C"/>
    <w:rsid w:val="00E049ED"/>
    <w:rsid w:val="00E06DE3"/>
    <w:rsid w:val="00E071A2"/>
    <w:rsid w:val="00E077A2"/>
    <w:rsid w:val="00E07F3E"/>
    <w:rsid w:val="00E101AC"/>
    <w:rsid w:val="00E230BF"/>
    <w:rsid w:val="00E24222"/>
    <w:rsid w:val="00E27704"/>
    <w:rsid w:val="00E3047D"/>
    <w:rsid w:val="00E322F0"/>
    <w:rsid w:val="00E32D81"/>
    <w:rsid w:val="00E3662E"/>
    <w:rsid w:val="00E369D3"/>
    <w:rsid w:val="00E40AA8"/>
    <w:rsid w:val="00E42FB4"/>
    <w:rsid w:val="00E4339E"/>
    <w:rsid w:val="00E53345"/>
    <w:rsid w:val="00E60797"/>
    <w:rsid w:val="00E6096B"/>
    <w:rsid w:val="00E627F0"/>
    <w:rsid w:val="00E66F15"/>
    <w:rsid w:val="00E759FE"/>
    <w:rsid w:val="00E81A18"/>
    <w:rsid w:val="00E838E3"/>
    <w:rsid w:val="00E84F52"/>
    <w:rsid w:val="00E97A41"/>
    <w:rsid w:val="00EA177F"/>
    <w:rsid w:val="00EA1883"/>
    <w:rsid w:val="00EA1EEA"/>
    <w:rsid w:val="00EA6C77"/>
    <w:rsid w:val="00EB111C"/>
    <w:rsid w:val="00EB6E27"/>
    <w:rsid w:val="00EC0EF1"/>
    <w:rsid w:val="00EC644C"/>
    <w:rsid w:val="00ED40BA"/>
    <w:rsid w:val="00ED496A"/>
    <w:rsid w:val="00ED67CA"/>
    <w:rsid w:val="00EE29A9"/>
    <w:rsid w:val="00EE3DDE"/>
    <w:rsid w:val="00EF29F8"/>
    <w:rsid w:val="00EF7233"/>
    <w:rsid w:val="00F033BF"/>
    <w:rsid w:val="00F0762A"/>
    <w:rsid w:val="00F1063F"/>
    <w:rsid w:val="00F118B0"/>
    <w:rsid w:val="00F155E9"/>
    <w:rsid w:val="00F2236D"/>
    <w:rsid w:val="00F2251E"/>
    <w:rsid w:val="00F26842"/>
    <w:rsid w:val="00F270B7"/>
    <w:rsid w:val="00F33D6E"/>
    <w:rsid w:val="00F36B5C"/>
    <w:rsid w:val="00F37F86"/>
    <w:rsid w:val="00F413FB"/>
    <w:rsid w:val="00F4743D"/>
    <w:rsid w:val="00F510C5"/>
    <w:rsid w:val="00F51E59"/>
    <w:rsid w:val="00F5380E"/>
    <w:rsid w:val="00F53EB9"/>
    <w:rsid w:val="00F57E20"/>
    <w:rsid w:val="00F6188D"/>
    <w:rsid w:val="00F6241D"/>
    <w:rsid w:val="00F67B1D"/>
    <w:rsid w:val="00F710A7"/>
    <w:rsid w:val="00F722D9"/>
    <w:rsid w:val="00F75A17"/>
    <w:rsid w:val="00F84D89"/>
    <w:rsid w:val="00F85BDD"/>
    <w:rsid w:val="00F86C1C"/>
    <w:rsid w:val="00F91285"/>
    <w:rsid w:val="00F9156F"/>
    <w:rsid w:val="00F92EF2"/>
    <w:rsid w:val="00F95AA2"/>
    <w:rsid w:val="00FA2268"/>
    <w:rsid w:val="00FA69A3"/>
    <w:rsid w:val="00FB0E94"/>
    <w:rsid w:val="00FB13A2"/>
    <w:rsid w:val="00FB388E"/>
    <w:rsid w:val="00FB62B5"/>
    <w:rsid w:val="00FE2E93"/>
    <w:rsid w:val="00FE36D4"/>
    <w:rsid w:val="00FE3BAE"/>
    <w:rsid w:val="00FE4D8E"/>
    <w:rsid w:val="00FF0507"/>
    <w:rsid w:val="00FF1078"/>
    <w:rsid w:val="00FF15D4"/>
    <w:rsid w:val="00FF2CFF"/>
    <w:rsid w:val="00FF5958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F4B48"/>
    <w:pPr>
      <w:spacing w:after="160"/>
    </w:pPr>
    <w:rPr>
      <w:rFonts w:cs="Calibr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E7624"/>
    <w:pPr>
      <w:keepNext/>
      <w:keepLines/>
      <w:numPr>
        <w:numId w:val="34"/>
      </w:numPr>
      <w:tabs>
        <w:tab w:val="clear" w:pos="-40"/>
        <w:tab w:val="num" w:pos="720"/>
      </w:tabs>
      <w:spacing w:before="480" w:after="60"/>
      <w:ind w:left="720" w:hanging="720"/>
      <w:outlineLvl w:val="0"/>
    </w:pPr>
    <w:rPr>
      <w:rFonts w:cs="Times New Roman"/>
      <w:b/>
      <w:bCs/>
      <w:sz w:val="28"/>
      <w:szCs w:val="28"/>
      <w:lang w:eastAsia="ja-JP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DE7624"/>
    <w:pPr>
      <w:numPr>
        <w:ilvl w:val="1"/>
      </w:numPr>
      <w:tabs>
        <w:tab w:val="clear" w:pos="-40"/>
        <w:tab w:val="num" w:pos="720"/>
      </w:tabs>
      <w:spacing w:before="240" w:after="80"/>
      <w:ind w:left="360" w:hanging="360"/>
      <w:outlineLvl w:val="1"/>
    </w:pPr>
    <w:rPr>
      <w:sz w:val="24"/>
      <w:szCs w:val="24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F53EB9"/>
    <w:pPr>
      <w:numPr>
        <w:ilvl w:val="2"/>
      </w:numPr>
      <w:spacing w:before="120" w:after="0"/>
      <w:outlineLvl w:val="2"/>
    </w:pPr>
    <w:rPr>
      <w:b w:val="0"/>
      <w:bCs w:val="0"/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4BEE"/>
    <w:pPr>
      <w:keepNext/>
      <w:numPr>
        <w:ilvl w:val="3"/>
        <w:numId w:val="34"/>
      </w:numPr>
      <w:spacing w:before="240" w:after="60"/>
      <w:outlineLvl w:val="3"/>
    </w:pPr>
    <w:rPr>
      <w:rFonts w:cs="Times New Roman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B4A00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ja-JP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B4A00"/>
    <w:pPr>
      <w:spacing w:before="240" w:after="60"/>
      <w:outlineLvl w:val="5"/>
    </w:pPr>
    <w:rPr>
      <w:rFonts w:cs="Times New Roman"/>
      <w:b/>
      <w:bCs/>
      <w:sz w:val="20"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DE7624"/>
    <w:rPr>
      <w:b/>
      <w:bCs/>
      <w:sz w:val="28"/>
      <w:szCs w:val="28"/>
      <w:lang w:eastAsia="ja-JP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DE7624"/>
    <w:rPr>
      <w:b/>
      <w:bCs/>
      <w:sz w:val="24"/>
      <w:szCs w:val="24"/>
      <w:lang w:eastAsia="ja-JP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5A4BEE"/>
    <w:rPr>
      <w:i/>
      <w:iCs/>
      <w:sz w:val="24"/>
      <w:szCs w:val="24"/>
      <w:lang w:eastAsia="ja-JP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5A4BEE"/>
    <w:rPr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703DC5"/>
    <w:rPr>
      <w:rFonts w:ascii="Calibri" w:hAnsi="Calibri" w:cs="Times New Roman"/>
      <w:b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703DC5"/>
    <w:rPr>
      <w:rFonts w:ascii="Calibri" w:hAnsi="Calibri" w:cs="Times New Roman"/>
      <w:b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1B88"/>
    <w:pPr>
      <w:spacing w:after="0"/>
    </w:pPr>
    <w:rPr>
      <w:rFonts w:ascii="Tahoma" w:hAnsi="Tahoma" w:cs="Times New Roman"/>
      <w:sz w:val="16"/>
      <w:szCs w:val="16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imes New Roman"/>
      <w:sz w:val="16"/>
    </w:rPr>
  </w:style>
  <w:style w:type="paragraph" w:styleId="Sidehoved">
    <w:name w:val="header"/>
    <w:basedOn w:val="Normal"/>
    <w:link w:val="SidehovedTegn"/>
    <w:uiPriority w:val="99"/>
    <w:rsid w:val="00D81B88"/>
    <w:pPr>
      <w:tabs>
        <w:tab w:val="center" w:pos="4819"/>
        <w:tab w:val="right" w:pos="9638"/>
      </w:tabs>
      <w:spacing w:after="0"/>
    </w:pPr>
    <w:rPr>
      <w:rFonts w:cs="Times New Roman"/>
      <w:sz w:val="20"/>
      <w:szCs w:val="20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rsid w:val="00D81B88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BE5210"/>
    <w:pPr>
      <w:tabs>
        <w:tab w:val="center" w:pos="4819"/>
        <w:tab w:val="right" w:pos="9638"/>
      </w:tabs>
      <w:spacing w:after="0"/>
    </w:pPr>
    <w:rPr>
      <w:rFonts w:cs="Times New Roman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BE5210"/>
    <w:rPr>
      <w:rFonts w:ascii="Calibri" w:hAnsi="Calibri" w:cs="Times New Roman"/>
      <w:sz w:val="18"/>
      <w:lang w:val="da-DK" w:eastAsia="da-DK"/>
    </w:rPr>
  </w:style>
  <w:style w:type="character" w:styleId="Hyperlink">
    <w:name w:val="Hyperlink"/>
    <w:basedOn w:val="Standardskrifttypeiafsnit"/>
    <w:uiPriority w:val="99"/>
    <w:rsid w:val="009B0A02"/>
    <w:rPr>
      <w:rFonts w:cs="Times New Roman"/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9938A0"/>
    <w:pPr>
      <w:spacing w:after="0"/>
    </w:pPr>
    <w:rPr>
      <w:rFonts w:cs="Times New Roman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938A0"/>
    <w:rPr>
      <w:rFonts w:ascii="Calibri" w:hAnsi="Calibri" w:cs="Times New Roman"/>
      <w:sz w:val="21"/>
      <w:lang w:eastAsia="en-US"/>
    </w:rPr>
  </w:style>
  <w:style w:type="character" w:styleId="Strk">
    <w:name w:val="Strong"/>
    <w:basedOn w:val="Standardskrifttypeiafsnit"/>
    <w:uiPriority w:val="99"/>
    <w:qFormat/>
    <w:rsid w:val="00D12DEA"/>
    <w:rPr>
      <w:rFonts w:cs="Times New Roman"/>
      <w:b/>
    </w:rPr>
  </w:style>
  <w:style w:type="paragraph" w:styleId="Titel">
    <w:name w:val="Title"/>
    <w:basedOn w:val="Overskrift1"/>
    <w:next w:val="Normal"/>
    <w:link w:val="TitelTegn"/>
    <w:uiPriority w:val="99"/>
    <w:qFormat/>
    <w:rsid w:val="00922963"/>
    <w:pPr>
      <w:numPr>
        <w:numId w:val="0"/>
      </w:numPr>
      <w:spacing w:before="120" w:after="600"/>
      <w:contextualSpacing/>
    </w:pPr>
  </w:style>
  <w:style w:type="character" w:customStyle="1" w:styleId="TitelTegn">
    <w:name w:val="Titel Tegn"/>
    <w:basedOn w:val="Standardskrifttypeiafsnit"/>
    <w:link w:val="Titel"/>
    <w:uiPriority w:val="99"/>
    <w:rsid w:val="00922963"/>
    <w:rPr>
      <w:rFonts w:ascii="Calibri" w:hAnsi="Calibri" w:cs="Times New Roman"/>
      <w:b/>
      <w:sz w:val="28"/>
      <w:lang w:val="da-DK" w:eastAsia="da-DK"/>
    </w:rPr>
  </w:style>
  <w:style w:type="paragraph" w:styleId="Listeafsnit">
    <w:name w:val="List Paragraph"/>
    <w:basedOn w:val="Normal"/>
    <w:uiPriority w:val="99"/>
    <w:qFormat/>
    <w:rsid w:val="00A758DB"/>
    <w:pPr>
      <w:ind w:left="720"/>
      <w:contextualSpacing/>
    </w:pPr>
  </w:style>
  <w:style w:type="paragraph" w:styleId="Opstilling-punkttegn">
    <w:name w:val="List Bullet"/>
    <w:basedOn w:val="Normal"/>
    <w:autoRedefine/>
    <w:uiPriority w:val="99"/>
    <w:rsid w:val="00AE761A"/>
    <w:pPr>
      <w:numPr>
        <w:numId w:val="5"/>
      </w:numPr>
      <w:tabs>
        <w:tab w:val="clear" w:pos="360"/>
      </w:tabs>
      <w:ind w:left="357" w:hanging="357"/>
      <w:contextualSpacing/>
    </w:pPr>
  </w:style>
  <w:style w:type="paragraph" w:styleId="Brdtekst">
    <w:name w:val="Body Text"/>
    <w:basedOn w:val="Normal"/>
    <w:link w:val="BrdtekstTegn"/>
    <w:uiPriority w:val="99"/>
    <w:rsid w:val="00153ED2"/>
    <w:pPr>
      <w:spacing w:after="120"/>
    </w:pPr>
    <w:rPr>
      <w:rFonts w:cs="Times New Roman"/>
      <w:lang w:eastAsia="ja-JP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3DC5"/>
    <w:rPr>
      <w:rFonts w:cs="Times New Roman"/>
      <w:sz w:val="24"/>
    </w:rPr>
  </w:style>
  <w:style w:type="paragraph" w:customStyle="1" w:styleId="BodyQuoteList">
    <w:name w:val="Body_Quote_List"/>
    <w:basedOn w:val="Normal"/>
    <w:uiPriority w:val="99"/>
    <w:rsid w:val="0048070D"/>
    <w:pPr>
      <w:numPr>
        <w:numId w:val="42"/>
      </w:numPr>
    </w:pPr>
  </w:style>
  <w:style w:type="paragraph" w:styleId="Fodnotetekst">
    <w:name w:val="footnote text"/>
    <w:basedOn w:val="Normal"/>
    <w:link w:val="FodnotetekstTegn"/>
    <w:uiPriority w:val="99"/>
    <w:semiHidden/>
    <w:rsid w:val="00C55144"/>
    <w:rPr>
      <w:rFonts w:cs="Times New Roman"/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55144"/>
    <w:rPr>
      <w:rFonts w:cs="Times New Roman"/>
      <w:sz w:val="20"/>
    </w:rPr>
  </w:style>
  <w:style w:type="character" w:styleId="Fodnotehenvisning">
    <w:name w:val="footnote reference"/>
    <w:basedOn w:val="Standardskrifttypeiafsnit"/>
    <w:uiPriority w:val="99"/>
    <w:semiHidden/>
    <w:rsid w:val="00C55144"/>
    <w:rPr>
      <w:rFonts w:cs="Times New Roman"/>
      <w:vertAlign w:val="superscript"/>
    </w:rPr>
  </w:style>
  <w:style w:type="paragraph" w:styleId="Opstilling-punkttegn2">
    <w:name w:val="List Bullet 2"/>
    <w:basedOn w:val="Normal"/>
    <w:uiPriority w:val="99"/>
    <w:semiHidden/>
    <w:rsid w:val="00C55144"/>
    <w:pPr>
      <w:numPr>
        <w:numId w:val="26"/>
      </w:numPr>
      <w:tabs>
        <w:tab w:val="num" w:pos="643"/>
      </w:tabs>
      <w:ind w:left="643"/>
      <w:contextualSpacing/>
    </w:pPr>
  </w:style>
  <w:style w:type="paragraph" w:styleId="Citat">
    <w:name w:val="Quote"/>
    <w:basedOn w:val="Normal"/>
    <w:next w:val="Normal"/>
    <w:link w:val="CitatTegn"/>
    <w:uiPriority w:val="99"/>
    <w:qFormat/>
    <w:rsid w:val="00922963"/>
    <w:pPr>
      <w:spacing w:before="200"/>
      <w:ind w:left="567" w:right="864"/>
    </w:pPr>
    <w:rPr>
      <w:rFonts w:cs="Times New Roman"/>
      <w:i/>
      <w:iCs/>
      <w:color w:val="404040"/>
      <w:lang w:eastAsia="ja-JP"/>
    </w:rPr>
  </w:style>
  <w:style w:type="character" w:customStyle="1" w:styleId="CitatTegn">
    <w:name w:val="Citat Tegn"/>
    <w:basedOn w:val="Standardskrifttypeiafsnit"/>
    <w:link w:val="Citat"/>
    <w:uiPriority w:val="99"/>
    <w:rsid w:val="00922963"/>
    <w:rPr>
      <w:rFonts w:ascii="Calibri" w:hAnsi="Calibri" w:cs="Times New Roman"/>
      <w:i/>
      <w:color w:val="404040"/>
      <w:sz w:val="24"/>
      <w:lang w:val="da-DK" w:eastAsia="ja-JP"/>
    </w:rPr>
  </w:style>
  <w:style w:type="character" w:styleId="Kommentarhenvisning">
    <w:name w:val="annotation reference"/>
    <w:basedOn w:val="Standardskrifttypeiafsnit"/>
    <w:uiPriority w:val="99"/>
    <w:semiHidden/>
    <w:rsid w:val="00C60B37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C60B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0B37"/>
    <w:rPr>
      <w:rFonts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C60B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0B37"/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F4B48"/>
    <w:pPr>
      <w:spacing w:after="160"/>
    </w:pPr>
    <w:rPr>
      <w:rFonts w:cs="Calibr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E7624"/>
    <w:pPr>
      <w:keepNext/>
      <w:keepLines/>
      <w:numPr>
        <w:numId w:val="34"/>
      </w:numPr>
      <w:tabs>
        <w:tab w:val="clear" w:pos="-40"/>
        <w:tab w:val="num" w:pos="720"/>
      </w:tabs>
      <w:spacing w:before="480" w:after="60"/>
      <w:ind w:left="720" w:hanging="720"/>
      <w:outlineLvl w:val="0"/>
    </w:pPr>
    <w:rPr>
      <w:rFonts w:cs="Times New Roman"/>
      <w:b/>
      <w:bCs/>
      <w:sz w:val="28"/>
      <w:szCs w:val="28"/>
      <w:lang w:eastAsia="ja-JP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DE7624"/>
    <w:pPr>
      <w:numPr>
        <w:ilvl w:val="1"/>
      </w:numPr>
      <w:tabs>
        <w:tab w:val="clear" w:pos="-40"/>
        <w:tab w:val="num" w:pos="720"/>
      </w:tabs>
      <w:spacing w:before="240" w:after="80"/>
      <w:ind w:left="360" w:hanging="360"/>
      <w:outlineLvl w:val="1"/>
    </w:pPr>
    <w:rPr>
      <w:sz w:val="24"/>
      <w:szCs w:val="24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F53EB9"/>
    <w:pPr>
      <w:numPr>
        <w:ilvl w:val="2"/>
      </w:numPr>
      <w:spacing w:before="120" w:after="0"/>
      <w:outlineLvl w:val="2"/>
    </w:pPr>
    <w:rPr>
      <w:b w:val="0"/>
      <w:bCs w:val="0"/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4BEE"/>
    <w:pPr>
      <w:keepNext/>
      <w:numPr>
        <w:ilvl w:val="3"/>
        <w:numId w:val="34"/>
      </w:numPr>
      <w:spacing w:before="240" w:after="60"/>
      <w:outlineLvl w:val="3"/>
    </w:pPr>
    <w:rPr>
      <w:rFonts w:cs="Times New Roman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B4A00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ja-JP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B4A00"/>
    <w:pPr>
      <w:spacing w:before="240" w:after="60"/>
      <w:outlineLvl w:val="5"/>
    </w:pPr>
    <w:rPr>
      <w:rFonts w:cs="Times New Roman"/>
      <w:b/>
      <w:bCs/>
      <w:sz w:val="20"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DE7624"/>
    <w:rPr>
      <w:b/>
      <w:bCs/>
      <w:sz w:val="28"/>
      <w:szCs w:val="28"/>
      <w:lang w:eastAsia="ja-JP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DE7624"/>
    <w:rPr>
      <w:b/>
      <w:bCs/>
      <w:sz w:val="24"/>
      <w:szCs w:val="24"/>
      <w:lang w:eastAsia="ja-JP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5A4BEE"/>
    <w:rPr>
      <w:i/>
      <w:iCs/>
      <w:sz w:val="24"/>
      <w:szCs w:val="24"/>
      <w:lang w:eastAsia="ja-JP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5A4BEE"/>
    <w:rPr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703DC5"/>
    <w:rPr>
      <w:rFonts w:ascii="Calibri" w:hAnsi="Calibri" w:cs="Times New Roman"/>
      <w:b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703DC5"/>
    <w:rPr>
      <w:rFonts w:ascii="Calibri" w:hAnsi="Calibri" w:cs="Times New Roman"/>
      <w:b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1B88"/>
    <w:pPr>
      <w:spacing w:after="0"/>
    </w:pPr>
    <w:rPr>
      <w:rFonts w:ascii="Tahoma" w:hAnsi="Tahoma" w:cs="Times New Roman"/>
      <w:sz w:val="16"/>
      <w:szCs w:val="16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imes New Roman"/>
      <w:sz w:val="16"/>
    </w:rPr>
  </w:style>
  <w:style w:type="paragraph" w:styleId="Sidehoved">
    <w:name w:val="header"/>
    <w:basedOn w:val="Normal"/>
    <w:link w:val="SidehovedTegn"/>
    <w:uiPriority w:val="99"/>
    <w:rsid w:val="00D81B88"/>
    <w:pPr>
      <w:tabs>
        <w:tab w:val="center" w:pos="4819"/>
        <w:tab w:val="right" w:pos="9638"/>
      </w:tabs>
      <w:spacing w:after="0"/>
    </w:pPr>
    <w:rPr>
      <w:rFonts w:cs="Times New Roman"/>
      <w:sz w:val="20"/>
      <w:szCs w:val="20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rsid w:val="00D81B88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BE5210"/>
    <w:pPr>
      <w:tabs>
        <w:tab w:val="center" w:pos="4819"/>
        <w:tab w:val="right" w:pos="9638"/>
      </w:tabs>
      <w:spacing w:after="0"/>
    </w:pPr>
    <w:rPr>
      <w:rFonts w:cs="Times New Roman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BE5210"/>
    <w:rPr>
      <w:rFonts w:ascii="Calibri" w:hAnsi="Calibri" w:cs="Times New Roman"/>
      <w:sz w:val="18"/>
      <w:lang w:val="da-DK" w:eastAsia="da-DK"/>
    </w:rPr>
  </w:style>
  <w:style w:type="character" w:styleId="Hyperlink">
    <w:name w:val="Hyperlink"/>
    <w:basedOn w:val="Standardskrifttypeiafsnit"/>
    <w:uiPriority w:val="99"/>
    <w:rsid w:val="009B0A02"/>
    <w:rPr>
      <w:rFonts w:cs="Times New Roman"/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9938A0"/>
    <w:pPr>
      <w:spacing w:after="0"/>
    </w:pPr>
    <w:rPr>
      <w:rFonts w:cs="Times New Roman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938A0"/>
    <w:rPr>
      <w:rFonts w:ascii="Calibri" w:hAnsi="Calibri" w:cs="Times New Roman"/>
      <w:sz w:val="21"/>
      <w:lang w:eastAsia="en-US"/>
    </w:rPr>
  </w:style>
  <w:style w:type="character" w:styleId="Strk">
    <w:name w:val="Strong"/>
    <w:basedOn w:val="Standardskrifttypeiafsnit"/>
    <w:uiPriority w:val="99"/>
    <w:qFormat/>
    <w:rsid w:val="00D12DEA"/>
    <w:rPr>
      <w:rFonts w:cs="Times New Roman"/>
      <w:b/>
    </w:rPr>
  </w:style>
  <w:style w:type="paragraph" w:styleId="Titel">
    <w:name w:val="Title"/>
    <w:basedOn w:val="Overskrift1"/>
    <w:next w:val="Normal"/>
    <w:link w:val="TitelTegn"/>
    <w:uiPriority w:val="99"/>
    <w:qFormat/>
    <w:rsid w:val="00922963"/>
    <w:pPr>
      <w:numPr>
        <w:numId w:val="0"/>
      </w:numPr>
      <w:spacing w:before="120" w:after="600"/>
      <w:contextualSpacing/>
    </w:pPr>
  </w:style>
  <w:style w:type="character" w:customStyle="1" w:styleId="TitelTegn">
    <w:name w:val="Titel Tegn"/>
    <w:basedOn w:val="Standardskrifttypeiafsnit"/>
    <w:link w:val="Titel"/>
    <w:uiPriority w:val="99"/>
    <w:rsid w:val="00922963"/>
    <w:rPr>
      <w:rFonts w:ascii="Calibri" w:hAnsi="Calibri" w:cs="Times New Roman"/>
      <w:b/>
      <w:sz w:val="28"/>
      <w:lang w:val="da-DK" w:eastAsia="da-DK"/>
    </w:rPr>
  </w:style>
  <w:style w:type="paragraph" w:styleId="Listeafsnit">
    <w:name w:val="List Paragraph"/>
    <w:basedOn w:val="Normal"/>
    <w:uiPriority w:val="99"/>
    <w:qFormat/>
    <w:rsid w:val="00A758DB"/>
    <w:pPr>
      <w:ind w:left="720"/>
      <w:contextualSpacing/>
    </w:pPr>
  </w:style>
  <w:style w:type="paragraph" w:styleId="Opstilling-punkttegn">
    <w:name w:val="List Bullet"/>
    <w:basedOn w:val="Normal"/>
    <w:autoRedefine/>
    <w:uiPriority w:val="99"/>
    <w:rsid w:val="00AE761A"/>
    <w:pPr>
      <w:numPr>
        <w:numId w:val="5"/>
      </w:numPr>
      <w:tabs>
        <w:tab w:val="clear" w:pos="360"/>
      </w:tabs>
      <w:ind w:left="357" w:hanging="357"/>
      <w:contextualSpacing/>
    </w:pPr>
  </w:style>
  <w:style w:type="paragraph" w:styleId="Brdtekst">
    <w:name w:val="Body Text"/>
    <w:basedOn w:val="Normal"/>
    <w:link w:val="BrdtekstTegn"/>
    <w:uiPriority w:val="99"/>
    <w:rsid w:val="00153ED2"/>
    <w:pPr>
      <w:spacing w:after="120"/>
    </w:pPr>
    <w:rPr>
      <w:rFonts w:cs="Times New Roman"/>
      <w:lang w:eastAsia="ja-JP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3DC5"/>
    <w:rPr>
      <w:rFonts w:cs="Times New Roman"/>
      <w:sz w:val="24"/>
    </w:rPr>
  </w:style>
  <w:style w:type="paragraph" w:customStyle="1" w:styleId="BodyQuoteList">
    <w:name w:val="Body_Quote_List"/>
    <w:basedOn w:val="Normal"/>
    <w:uiPriority w:val="99"/>
    <w:rsid w:val="0048070D"/>
    <w:pPr>
      <w:numPr>
        <w:numId w:val="42"/>
      </w:numPr>
    </w:pPr>
  </w:style>
  <w:style w:type="paragraph" w:styleId="Fodnotetekst">
    <w:name w:val="footnote text"/>
    <w:basedOn w:val="Normal"/>
    <w:link w:val="FodnotetekstTegn"/>
    <w:uiPriority w:val="99"/>
    <w:semiHidden/>
    <w:rsid w:val="00C55144"/>
    <w:rPr>
      <w:rFonts w:cs="Times New Roman"/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55144"/>
    <w:rPr>
      <w:rFonts w:cs="Times New Roman"/>
      <w:sz w:val="20"/>
    </w:rPr>
  </w:style>
  <w:style w:type="character" w:styleId="Fodnotehenvisning">
    <w:name w:val="footnote reference"/>
    <w:basedOn w:val="Standardskrifttypeiafsnit"/>
    <w:uiPriority w:val="99"/>
    <w:semiHidden/>
    <w:rsid w:val="00C55144"/>
    <w:rPr>
      <w:rFonts w:cs="Times New Roman"/>
      <w:vertAlign w:val="superscript"/>
    </w:rPr>
  </w:style>
  <w:style w:type="paragraph" w:styleId="Opstilling-punkttegn2">
    <w:name w:val="List Bullet 2"/>
    <w:basedOn w:val="Normal"/>
    <w:uiPriority w:val="99"/>
    <w:semiHidden/>
    <w:rsid w:val="00C55144"/>
    <w:pPr>
      <w:numPr>
        <w:numId w:val="26"/>
      </w:numPr>
      <w:tabs>
        <w:tab w:val="num" w:pos="643"/>
      </w:tabs>
      <w:ind w:left="643"/>
      <w:contextualSpacing/>
    </w:pPr>
  </w:style>
  <w:style w:type="paragraph" w:styleId="Citat">
    <w:name w:val="Quote"/>
    <w:basedOn w:val="Normal"/>
    <w:next w:val="Normal"/>
    <w:link w:val="CitatTegn"/>
    <w:uiPriority w:val="99"/>
    <w:qFormat/>
    <w:rsid w:val="00922963"/>
    <w:pPr>
      <w:spacing w:before="200"/>
      <w:ind w:left="567" w:right="864"/>
    </w:pPr>
    <w:rPr>
      <w:rFonts w:cs="Times New Roman"/>
      <w:i/>
      <w:iCs/>
      <w:color w:val="404040"/>
      <w:lang w:eastAsia="ja-JP"/>
    </w:rPr>
  </w:style>
  <w:style w:type="character" w:customStyle="1" w:styleId="CitatTegn">
    <w:name w:val="Citat Tegn"/>
    <w:basedOn w:val="Standardskrifttypeiafsnit"/>
    <w:link w:val="Citat"/>
    <w:uiPriority w:val="99"/>
    <w:rsid w:val="00922963"/>
    <w:rPr>
      <w:rFonts w:ascii="Calibri" w:hAnsi="Calibri" w:cs="Times New Roman"/>
      <w:i/>
      <w:color w:val="404040"/>
      <w:sz w:val="24"/>
      <w:lang w:val="da-DK" w:eastAsia="ja-JP"/>
    </w:rPr>
  </w:style>
  <w:style w:type="character" w:styleId="Kommentarhenvisning">
    <w:name w:val="annotation reference"/>
    <w:basedOn w:val="Standardskrifttypeiafsnit"/>
    <w:uiPriority w:val="99"/>
    <w:semiHidden/>
    <w:rsid w:val="00C60B37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C60B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0B37"/>
    <w:rPr>
      <w:rFonts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C60B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0B37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6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013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76926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76929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376933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7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7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7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7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37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376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376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-Drev\18099%20Genbrug%20af%20adressedata\Analyser\AdrUdl\MBBL_Kortlaegning_af_myndighedernes_brug_af_adresser_i_udlandet_2012-05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MBBL_Kortlaegning_af_myndighedernes_brug_af_adresser_i_udlandet_2012-05-05.dotx</Template>
  <TotalTime>1</TotalTime>
  <Pages>3</Pages>
  <Words>855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Regler for DAGI temaet ”supplerende bynavne”</vt:lpstr>
    </vt:vector>
  </TitlesOfParts>
  <Company>InKIT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Regler for DAGI temaet ”supplerende bynavne”</dc:title>
  <dc:subject>Notat MBBL</dc:subject>
  <dc:creator>Morten Lind</dc:creator>
  <cp:lastModifiedBy>Tanja Haagh Jensen</cp:lastModifiedBy>
  <cp:revision>4</cp:revision>
  <cp:lastPrinted>2014-01-27T15:39:00Z</cp:lastPrinted>
  <dcterms:created xsi:type="dcterms:W3CDTF">2014-01-27T14:59:00Z</dcterms:created>
  <dcterms:modified xsi:type="dcterms:W3CDTF">2014-01-27T15:39:00Z</dcterms:modified>
</cp:coreProperties>
</file>