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4F3082" w:rsidRPr="006E07F9" w:rsidTr="0038556E">
        <w:trPr>
          <w:trHeight w:hRule="exact" w:val="799"/>
        </w:trPr>
        <w:tc>
          <w:tcPr>
            <w:tcW w:w="7643" w:type="dxa"/>
          </w:tcPr>
          <w:p w:rsidR="004F3082" w:rsidRPr="006E07F9" w:rsidRDefault="006E07F9" w:rsidP="00794A97">
            <w:pPr>
              <w:pStyle w:val="Template-Dokumentnavn"/>
            </w:pPr>
            <w:bookmarkStart w:id="0" w:name="SD_LAN_Notat"/>
            <w:bookmarkStart w:id="1" w:name="_GoBack"/>
            <w:bookmarkEnd w:id="1"/>
            <w:r w:rsidRPr="006E07F9">
              <w:t>Notat</w:t>
            </w:r>
            <w:bookmarkEnd w:id="0"/>
          </w:p>
        </w:tc>
        <w:tc>
          <w:tcPr>
            <w:tcW w:w="406" w:type="dxa"/>
            <w:tcBorders>
              <w:top w:val="nil"/>
              <w:bottom w:val="nil"/>
            </w:tcBorders>
          </w:tcPr>
          <w:p w:rsidR="004F3082" w:rsidRPr="006E07F9" w:rsidRDefault="004F3082" w:rsidP="00794A97">
            <w:pPr>
              <w:pStyle w:val="Template-Dokumentnavn"/>
            </w:pPr>
          </w:p>
        </w:tc>
        <w:tc>
          <w:tcPr>
            <w:tcW w:w="2044" w:type="dxa"/>
            <w:vMerge w:val="restart"/>
            <w:tcBorders>
              <w:top w:val="nil"/>
            </w:tcBorders>
          </w:tcPr>
          <w:p w:rsidR="004F3082" w:rsidRPr="006E07F9" w:rsidRDefault="006E07F9" w:rsidP="004F3082">
            <w:pPr>
              <w:pStyle w:val="Template-Dato"/>
            </w:pPr>
            <w:bookmarkStart w:id="2" w:name="SD_FLD_DocumentDate"/>
            <w:r>
              <w:t>10. marts 2014</w:t>
            </w:r>
            <w:bookmarkEnd w:id="2"/>
          </w:p>
          <w:p w:rsidR="004F3082" w:rsidRPr="006E07F9" w:rsidRDefault="006E07F9" w:rsidP="004F3082">
            <w:pPr>
              <w:pStyle w:val="Template-INI"/>
              <w:rPr>
                <w:lang w:val="da-DK"/>
              </w:rPr>
            </w:pPr>
            <w:bookmarkStart w:id="3" w:name="SD_USR_Enhed"/>
            <w:r>
              <w:rPr>
                <w:lang w:val="da-DK"/>
              </w:rPr>
              <w:t>KGI</w:t>
            </w:r>
            <w:bookmarkEnd w:id="3"/>
            <w:r w:rsidR="004F3082" w:rsidRPr="006E07F9">
              <w:rPr>
                <w:lang w:val="da-DK"/>
              </w:rPr>
              <w:t>/</w:t>
            </w:r>
            <w:bookmarkStart w:id="4" w:name="SD_USR_SagsbehandlerIni"/>
            <w:r>
              <w:rPr>
                <w:lang w:val="da-DK"/>
              </w:rPr>
              <w:t>PLACE</w:t>
            </w:r>
            <w:bookmarkEnd w:id="4"/>
          </w:p>
          <w:p w:rsidR="004F3082" w:rsidRPr="006E07F9" w:rsidRDefault="006E07F9" w:rsidP="004F3082">
            <w:pPr>
              <w:pStyle w:val="Template-Dato"/>
            </w:pPr>
            <w:bookmarkStart w:id="5" w:name="SD_LAN_Jnr"/>
            <w:bookmarkStart w:id="6" w:name="HIF_SD_FLD_JournalNr"/>
            <w:r w:rsidRPr="006E07F9">
              <w:rPr>
                <w:vanish/>
              </w:rPr>
              <w:t>J.nr.</w:t>
            </w:r>
            <w:bookmarkEnd w:id="5"/>
            <w:r w:rsidR="004F3082" w:rsidRPr="006E07F9">
              <w:rPr>
                <w:vanish/>
              </w:rPr>
              <w:t xml:space="preserve"> </w:t>
            </w:r>
            <w:bookmarkStart w:id="7" w:name="SD_FLD_JournalNr"/>
            <w:bookmarkEnd w:id="7"/>
            <w:r w:rsidR="004F3082" w:rsidRPr="006E07F9">
              <w:rPr>
                <w:vanish/>
              </w:rPr>
              <w:t xml:space="preserve"> </w:t>
            </w:r>
            <w:bookmarkEnd w:id="6"/>
          </w:p>
        </w:tc>
      </w:tr>
      <w:tr w:rsidR="004F3082" w:rsidRPr="006E07F9" w:rsidTr="00F76F6E">
        <w:trPr>
          <w:trHeight w:val="340"/>
        </w:trPr>
        <w:tc>
          <w:tcPr>
            <w:tcW w:w="7643" w:type="dxa"/>
          </w:tcPr>
          <w:p w:rsidR="004F3082" w:rsidRPr="006E07F9" w:rsidRDefault="004F3082" w:rsidP="00794A97"/>
        </w:tc>
        <w:tc>
          <w:tcPr>
            <w:tcW w:w="406" w:type="dxa"/>
            <w:tcBorders>
              <w:top w:val="nil"/>
              <w:bottom w:val="nil"/>
            </w:tcBorders>
          </w:tcPr>
          <w:p w:rsidR="004F3082" w:rsidRPr="006E07F9" w:rsidRDefault="004F3082" w:rsidP="00794A97"/>
        </w:tc>
        <w:tc>
          <w:tcPr>
            <w:tcW w:w="2044" w:type="dxa"/>
            <w:vMerge/>
            <w:tcBorders>
              <w:bottom w:val="nil"/>
            </w:tcBorders>
          </w:tcPr>
          <w:p w:rsidR="004F3082" w:rsidRPr="006E07F9" w:rsidRDefault="004F3082" w:rsidP="00794A97"/>
        </w:tc>
      </w:tr>
    </w:tbl>
    <w:p w:rsidR="006E07F9" w:rsidRDefault="006E07F9" w:rsidP="006E07F9">
      <w:pPr>
        <w:pStyle w:val="Overskrift1"/>
      </w:pPr>
      <w:r>
        <w:t>Forventede regelændringer i Modelregler for grunddata 1.1</w:t>
      </w:r>
    </w:p>
    <w:p w:rsidR="00F54527" w:rsidRDefault="00F54527" w:rsidP="006E07F9">
      <w:pPr>
        <w:pStyle w:val="Overskrift2"/>
      </w:pPr>
      <w:r>
        <w:t xml:space="preserve">Problem </w:t>
      </w:r>
    </w:p>
    <w:p w:rsidR="00F54527" w:rsidRPr="00F54527" w:rsidRDefault="00F54527" w:rsidP="00F54527">
      <w:r>
        <w:t>Modelreglerne</w:t>
      </w:r>
      <w:r w:rsidR="00AF6297">
        <w:t xml:space="preserve"> tilpasses for at modsvare behov i grunddataprogrammet. </w:t>
      </w:r>
    </w:p>
    <w:p w:rsidR="006E07F9" w:rsidRDefault="006E07F9" w:rsidP="006E07F9">
      <w:pPr>
        <w:pStyle w:val="Overskrift2"/>
      </w:pPr>
      <w:r>
        <w:t>Baggrund</w:t>
      </w:r>
    </w:p>
    <w:p w:rsidR="006E07F9" w:rsidRPr="006E07F9" w:rsidRDefault="006E07F9" w:rsidP="006E07F9">
      <w:r>
        <w:t>På baggrund</w:t>
      </w:r>
      <w:r w:rsidR="00F54527">
        <w:t xml:space="preserve"> af kommentarer indkommet i forbindelse med høringen af Modelreglerne op til godkendelsen, behov udtrykt i forbindelse med afklaringen af grunddataarkitekturen samt kommentarer fra grunddatamodellører forventes det, at publicere en version 1.1 af Modelreglerne inden udgangen af april 2014. Versionen forventes at indeholde opdatering af de følgende regler.</w:t>
      </w:r>
    </w:p>
    <w:p w:rsidR="00F54527" w:rsidRDefault="00F54527" w:rsidP="006E07F9">
      <w:pPr>
        <w:pStyle w:val="Overskrift2"/>
      </w:pPr>
      <w:r>
        <w:t>Løsning</w:t>
      </w:r>
    </w:p>
    <w:p w:rsidR="00FF5125" w:rsidRDefault="00FF5125" w:rsidP="00FF5125">
      <w:pPr>
        <w:pStyle w:val="Overskrift2"/>
        <w:contextualSpacing w:val="0"/>
      </w:pPr>
      <w:bookmarkStart w:id="8" w:name="_Toc382228573"/>
      <w:r>
        <w:t>5.6 UML-stereotyper skal anvendes</w:t>
      </w:r>
      <w:bookmarkEnd w:id="8"/>
    </w:p>
    <w:p w:rsidR="00FF5125" w:rsidRDefault="00FF5125" w:rsidP="00FF5125">
      <w:r>
        <w:t>Reglen angiver, at de generelle modelelementer skal specialiseres, så deres specifikke Grunddata-anvendelse kan udtrykkes. Specialiseringen foregår ved at tildele ”Stereotyper”, som navngives i henhold til reglerne</w:t>
      </w:r>
    </w:p>
    <w:p w:rsidR="00FF5125" w:rsidRDefault="00FF5125" w:rsidP="00FF5125">
      <w:pPr>
        <w:pStyle w:val="Overskrift3"/>
      </w:pPr>
      <w:r>
        <w:t>Ændring</w:t>
      </w:r>
    </w:p>
    <w:p w:rsidR="00FF5125" w:rsidRPr="00FF5125" w:rsidRDefault="00FF5125" w:rsidP="00FF5125">
      <w:r>
        <w:t>Navnene på stereotyperne ’</w:t>
      </w:r>
      <w:proofErr w:type="spellStart"/>
      <w:r>
        <w:t>Enumeration</w:t>
      </w:r>
      <w:proofErr w:type="spellEnd"/>
      <w:r>
        <w:t>’ og ’Datatype’ ændres</w:t>
      </w:r>
      <w:r w:rsidR="00DD3829">
        <w:t>.</w:t>
      </w:r>
    </w:p>
    <w:p w:rsidR="00FF5125" w:rsidRDefault="00FF5125" w:rsidP="00FF5125">
      <w:pPr>
        <w:pStyle w:val="Overskrift3"/>
      </w:pPr>
      <w:r>
        <w:t>Baggrund for ændring</w:t>
      </w:r>
    </w:p>
    <w:p w:rsidR="00DD3829" w:rsidRPr="00FF5125" w:rsidRDefault="00670E8C" w:rsidP="00DD3829">
      <w:r>
        <w:t xml:space="preserve">Konflikten med UML-specifikationen er opdaget af Heidi </w:t>
      </w:r>
      <w:proofErr w:type="spellStart"/>
      <w:r>
        <w:t>Vanparys</w:t>
      </w:r>
      <w:proofErr w:type="spellEnd"/>
      <w:r w:rsidR="00DD3829">
        <w:t xml:space="preserve"> – de anvendte navne er reserverede </w:t>
      </w:r>
      <w:proofErr w:type="spellStart"/>
      <w:r w:rsidR="00DD3829">
        <w:t>keywords</w:t>
      </w:r>
      <w:proofErr w:type="spellEnd"/>
      <w:r w:rsidR="00DD3829">
        <w:t xml:space="preserve"> i UML</w:t>
      </w:r>
    </w:p>
    <w:p w:rsidR="00670E8C" w:rsidRDefault="00670E8C" w:rsidP="00FF5125">
      <w:pPr>
        <w:pStyle w:val="Overskrift3"/>
      </w:pPr>
      <w:r>
        <w:t>Rationale</w:t>
      </w:r>
    </w:p>
    <w:p w:rsidR="00670E8C" w:rsidRPr="00670E8C" w:rsidRDefault="00670E8C" w:rsidP="00670E8C">
      <w:r>
        <w:t>UML-specifikationen overholdes – potentiel konflikt med værktøj forhindres.</w:t>
      </w:r>
    </w:p>
    <w:p w:rsidR="00FF5125" w:rsidRDefault="00FF5125" w:rsidP="00FF5125">
      <w:pPr>
        <w:pStyle w:val="Overskrift3"/>
      </w:pPr>
      <w:r>
        <w:t>Implikationer</w:t>
      </w:r>
    </w:p>
    <w:p w:rsidR="00670E8C" w:rsidRPr="00670E8C" w:rsidRDefault="00670E8C" w:rsidP="00670E8C">
      <w:r>
        <w:t>Stereotypnavne ændres i Base-</w:t>
      </w:r>
      <w:proofErr w:type="spellStart"/>
      <w:r>
        <w:t>project</w:t>
      </w:r>
      <w:proofErr w:type="spellEnd"/>
      <w:r w:rsidR="005C53A8">
        <w:rPr>
          <w:rStyle w:val="Fodnotehenvisning"/>
        </w:rPr>
        <w:footnoteReference w:id="1"/>
      </w:r>
      <w:r>
        <w:t>, og kan nemt ændres i de modeller, der al</w:t>
      </w:r>
      <w:r w:rsidR="005C53A8">
        <w:t>lerede er udfærdiget.</w:t>
      </w:r>
    </w:p>
    <w:p w:rsidR="00FF5125" w:rsidRDefault="00FF5125" w:rsidP="00FF5125">
      <w:pPr>
        <w:pStyle w:val="Overskrift2"/>
        <w:contextualSpacing w:val="0"/>
      </w:pPr>
      <w:bookmarkStart w:id="9" w:name="_Toc382228576"/>
      <w:r>
        <w:t>Regel 5.9 Datamodellen skal dokumenteres</w:t>
      </w:r>
      <w:bookmarkEnd w:id="9"/>
    </w:p>
    <w:p w:rsidR="00670E8C" w:rsidRPr="00670E8C" w:rsidRDefault="00670E8C" w:rsidP="00670E8C">
      <w:r>
        <w:t>Reglen angiver, at dokumentation af den forretningsmæssige forståelse af modelelementerne skal indlejres i modellen ved hjælp af struktureret tekst i elementets Notes-felt</w:t>
      </w:r>
    </w:p>
    <w:p w:rsidR="00FF5125" w:rsidRDefault="00FF5125" w:rsidP="00FF5125">
      <w:pPr>
        <w:pStyle w:val="Overskrift3"/>
      </w:pPr>
      <w:r>
        <w:lastRenderedPageBreak/>
        <w:t>Ændring</w:t>
      </w:r>
    </w:p>
    <w:p w:rsidR="00FF5125" w:rsidRPr="00FF5125" w:rsidRDefault="00670E8C" w:rsidP="00EE5DBF">
      <w:r>
        <w:t xml:space="preserve">Reglen ændres til, at dokumentationen skal angives som </w:t>
      </w:r>
      <w:r w:rsidR="008A22B5">
        <w:t>specificerede</w:t>
      </w:r>
      <w:r>
        <w:t xml:space="preserve"> ’</w:t>
      </w:r>
      <w:proofErr w:type="spellStart"/>
      <w:r>
        <w:t>tagged</w:t>
      </w:r>
      <w:proofErr w:type="spellEnd"/>
      <w:r>
        <w:t xml:space="preserve"> </w:t>
      </w:r>
      <w:proofErr w:type="spellStart"/>
      <w:r>
        <w:t>values</w:t>
      </w:r>
      <w:proofErr w:type="spellEnd"/>
      <w:r>
        <w:t>’ på de enkelte elementer.</w:t>
      </w:r>
      <w:r w:rsidR="008A22B5">
        <w:t xml:space="preserve"> </w:t>
      </w:r>
      <w:r w:rsidR="00EE5DBF">
        <w:t>Der vil blandt andet være felter til beskrivelse af: Synonymer, Definition, Beskrivelse, Bemærkninger, Lovgrundlag.</w:t>
      </w:r>
    </w:p>
    <w:p w:rsidR="00FF5125" w:rsidRDefault="00FF5125" w:rsidP="00FF5125">
      <w:pPr>
        <w:pStyle w:val="Overskrift3"/>
      </w:pPr>
      <w:r>
        <w:t>Baggrund for ændring</w:t>
      </w:r>
    </w:p>
    <w:p w:rsidR="00670E8C" w:rsidRPr="00670E8C" w:rsidRDefault="00670E8C" w:rsidP="00670E8C">
      <w:r>
        <w:t xml:space="preserve">GD1 og GD2 – med </w:t>
      </w:r>
      <w:r w:rsidR="00DD3829">
        <w:t>erfaring fra</w:t>
      </w:r>
      <w:r>
        <w:t xml:space="preserve"> DIADEM-projektet – ønsker mere strukturerede metadata samt en metode til at sikre at </w:t>
      </w:r>
      <w:proofErr w:type="spellStart"/>
      <w:r>
        <w:t>forretningvendte</w:t>
      </w:r>
      <w:proofErr w:type="spellEnd"/>
      <w:r>
        <w:t xml:space="preserve"> </w:t>
      </w:r>
      <w:proofErr w:type="spellStart"/>
      <w:r>
        <w:t>metadadata</w:t>
      </w:r>
      <w:proofErr w:type="spellEnd"/>
      <w:r>
        <w:t xml:space="preserve"> kan udstilles i tjenester.</w:t>
      </w:r>
    </w:p>
    <w:p w:rsidR="00670E8C" w:rsidRDefault="00670E8C" w:rsidP="00FF5125">
      <w:pPr>
        <w:pStyle w:val="Overskrift3"/>
      </w:pPr>
      <w:r>
        <w:t>Rationale</w:t>
      </w:r>
    </w:p>
    <w:p w:rsidR="00670E8C" w:rsidRPr="00670E8C" w:rsidRDefault="00670E8C" w:rsidP="00670E8C">
      <w:r>
        <w:t xml:space="preserve">Anvendelse af </w:t>
      </w:r>
      <w:proofErr w:type="spellStart"/>
      <w:r>
        <w:t>tagged</w:t>
      </w:r>
      <w:proofErr w:type="spellEnd"/>
      <w:r>
        <w:t xml:space="preserve"> </w:t>
      </w:r>
      <w:proofErr w:type="spellStart"/>
      <w:r>
        <w:t>values</w:t>
      </w:r>
      <w:proofErr w:type="spellEnd"/>
      <w:r>
        <w:t xml:space="preserve"> i stedet for Notes-feltet øger den semantiske struktur af metadata og gør transformationen til tjeneste-data værktøjsneutral. </w:t>
      </w:r>
      <w:r w:rsidR="00EE5DBF">
        <w:t>Den øgede strukturering gør det mere tilgængeligt, at diversificere udstillingen af metadata</w:t>
      </w:r>
      <w:r w:rsidR="00DD3829">
        <w:t>.</w:t>
      </w:r>
    </w:p>
    <w:p w:rsidR="00FF5125" w:rsidRDefault="00FF5125" w:rsidP="00FF5125">
      <w:pPr>
        <w:pStyle w:val="Overskrift3"/>
      </w:pPr>
      <w:r>
        <w:t>Implikationer</w:t>
      </w:r>
    </w:p>
    <w:p w:rsidR="00DD3829" w:rsidRPr="00EE5DBF" w:rsidRDefault="00EE5DBF" w:rsidP="00EE5DBF">
      <w:r>
        <w:t>Dokumentationen af elementerne bliver mere omfattende. Anvendeligheden af metadata bliver større.</w:t>
      </w:r>
      <w:r w:rsidR="00DD3829">
        <w:t xml:space="preserve"> Krævede </w:t>
      </w:r>
      <w:proofErr w:type="spellStart"/>
      <w:r w:rsidR="00DD3829">
        <w:t>tagged</w:t>
      </w:r>
      <w:proofErr w:type="spellEnd"/>
      <w:r w:rsidR="00DD3829">
        <w:t xml:space="preserve"> </w:t>
      </w:r>
      <w:proofErr w:type="spellStart"/>
      <w:r w:rsidR="00DD3829">
        <w:t>values</w:t>
      </w:r>
      <w:proofErr w:type="spellEnd"/>
      <w:r w:rsidR="00DD3829">
        <w:t xml:space="preserve"> tilføjes i Base-</w:t>
      </w:r>
      <w:proofErr w:type="spellStart"/>
      <w:r w:rsidR="00DD3829">
        <w:t>project</w:t>
      </w:r>
      <w:proofErr w:type="spellEnd"/>
    </w:p>
    <w:p w:rsidR="00F54527" w:rsidRDefault="006E07F9" w:rsidP="00F54527">
      <w:pPr>
        <w:pStyle w:val="Overskrift2"/>
        <w:contextualSpacing w:val="0"/>
      </w:pPr>
      <w:r>
        <w:t>Regel</w:t>
      </w:r>
      <w:r w:rsidR="00F54527">
        <w:t xml:space="preserve"> </w:t>
      </w:r>
      <w:bookmarkStart w:id="10" w:name="_Toc382228581"/>
      <w:r w:rsidR="00F54527">
        <w:t>6.3 Alle modelentiteter skal understøtte dobbelthistorik og angivelse af aktør</w:t>
      </w:r>
      <w:bookmarkEnd w:id="10"/>
    </w:p>
    <w:p w:rsidR="00EE5DBF" w:rsidRPr="00EE5DBF" w:rsidRDefault="00EE5DBF" w:rsidP="00EE5DBF">
      <w:r>
        <w:t>Reglen specificerer, hvordan tidsangivelse for datas databasehistorik og virkelighedshistorik modelleres. Herunder, hvilke genbrugelige datatyper, der skal indgå i en samlet model-entitet for et forretningsobjekt.</w:t>
      </w:r>
    </w:p>
    <w:p w:rsidR="006E07F9" w:rsidRDefault="006E07F9" w:rsidP="006E07F9">
      <w:pPr>
        <w:pStyle w:val="Overskrift3"/>
      </w:pPr>
      <w:r>
        <w:t>Ændring</w:t>
      </w:r>
    </w:p>
    <w:p w:rsidR="00FF5125" w:rsidRPr="00FF5125" w:rsidRDefault="00EE5DBF" w:rsidP="00FF5125">
      <w:r>
        <w:t>Måden hvorpå dobbelthistorik skal modelleres, konsolideres.</w:t>
      </w:r>
    </w:p>
    <w:p w:rsidR="006E07F9" w:rsidRDefault="006E07F9" w:rsidP="006E07F9">
      <w:pPr>
        <w:pStyle w:val="Overskrift3"/>
      </w:pPr>
      <w:r>
        <w:t>Baggrund for ændring</w:t>
      </w:r>
    </w:p>
    <w:p w:rsidR="00EE5DBF" w:rsidRPr="00EE5DBF" w:rsidRDefault="00EE5DBF" w:rsidP="00EE5DBF">
      <w:r>
        <w:t>Det er påpeget i forbindelse med høringen af modelreglerne, at den foreslåede metode til modellering af dobbelthistorik ikke er fyldestgørende i forhold til at kunne rekonstruere et dataobjekts tilstand på et givet tidspunkt. Denne usikkerhed er noteret i reglerne.</w:t>
      </w:r>
    </w:p>
    <w:p w:rsidR="006E07F9" w:rsidRDefault="006E07F9" w:rsidP="006E07F9">
      <w:pPr>
        <w:pStyle w:val="Overskrift3"/>
      </w:pPr>
      <w:r>
        <w:t>Implikationer</w:t>
      </w:r>
    </w:p>
    <w:p w:rsidR="00EE5DBF" w:rsidRPr="00EE5DBF" w:rsidRDefault="00EE5DBF" w:rsidP="00EE5DBF">
      <w:r>
        <w:t>Endnu ukendte</w:t>
      </w:r>
    </w:p>
    <w:p w:rsidR="00FF5125" w:rsidRDefault="00FF5125" w:rsidP="00FF5125">
      <w:pPr>
        <w:pStyle w:val="Overskrift3"/>
      </w:pPr>
      <w:r>
        <w:t>Ændring</w:t>
      </w:r>
    </w:p>
    <w:p w:rsidR="00FF5125" w:rsidRPr="00FF5125" w:rsidRDefault="007E6A7A" w:rsidP="00FF5125">
      <w:r>
        <w:t>De genbrugelige datatyper</w:t>
      </w:r>
      <w:r w:rsidR="00EE5DBF">
        <w:t xml:space="preserve"> </w:t>
      </w:r>
      <w:r>
        <w:t>’</w:t>
      </w:r>
      <w:proofErr w:type="spellStart"/>
      <w:r w:rsidR="00EE5DBF">
        <w:t>RegistreringType</w:t>
      </w:r>
      <w:proofErr w:type="spellEnd"/>
      <w:r>
        <w:t>’</w:t>
      </w:r>
      <w:r w:rsidR="00EE5DBF">
        <w:t xml:space="preserve"> og </w:t>
      </w:r>
      <w:r>
        <w:t>’</w:t>
      </w:r>
      <w:proofErr w:type="spellStart"/>
      <w:r w:rsidR="00EE5DBF">
        <w:t>VirkningType</w:t>
      </w:r>
      <w:proofErr w:type="spellEnd"/>
      <w:r>
        <w:t>’</w:t>
      </w:r>
      <w:r w:rsidR="00EE5DBF">
        <w:t xml:space="preserve"> fjernes fra reglerne. Deres attributter placeres direkte på hovedobjektet</w:t>
      </w:r>
      <w:r>
        <w:t>.</w:t>
      </w:r>
    </w:p>
    <w:p w:rsidR="00FF5125" w:rsidRDefault="00FF5125" w:rsidP="00FF5125">
      <w:pPr>
        <w:pStyle w:val="Overskrift3"/>
      </w:pPr>
      <w:r>
        <w:t>Baggrund for ændring</w:t>
      </w:r>
    </w:p>
    <w:p w:rsidR="007E6A7A" w:rsidRPr="007E6A7A" w:rsidRDefault="007E6A7A" w:rsidP="007E6A7A">
      <w:r>
        <w:t xml:space="preserve">Det er påpeget (af Heidi </w:t>
      </w:r>
      <w:proofErr w:type="spellStart"/>
      <w:r>
        <w:t>Vaparys</w:t>
      </w:r>
      <w:proofErr w:type="spellEnd"/>
      <w:r>
        <w:t xml:space="preserve"> og en konsulent fra </w:t>
      </w:r>
      <w:proofErr w:type="spellStart"/>
      <w:r>
        <w:t>Sparx</w:t>
      </w:r>
      <w:proofErr w:type="spellEnd"/>
      <w:r>
        <w:t xml:space="preserve"> Systems), at datatyperne ikke kan gøres genbrugelige, da typerne for flere af deres attributter vil være domænespecifikke.</w:t>
      </w:r>
    </w:p>
    <w:p w:rsidR="00FF5125" w:rsidRDefault="00FF5125" w:rsidP="00FF5125">
      <w:pPr>
        <w:pStyle w:val="Overskrift3"/>
      </w:pPr>
      <w:r>
        <w:lastRenderedPageBreak/>
        <w:t>Implikationer</w:t>
      </w:r>
    </w:p>
    <w:p w:rsidR="00FF5125" w:rsidRPr="00FF5125" w:rsidRDefault="005C53A8" w:rsidP="00FF5125">
      <w:r>
        <w:t>Base-</w:t>
      </w:r>
      <w:proofErr w:type="spellStart"/>
      <w:r w:rsidR="007E6A7A">
        <w:t>project</w:t>
      </w:r>
      <w:proofErr w:type="spellEnd"/>
      <w:r w:rsidR="007E6A7A">
        <w:t xml:space="preserve"> ændres for at afspejle reglerne – eksisterende modellering af DAGI er allerede bragt i overensstemmelse med ændringen.</w:t>
      </w:r>
    </w:p>
    <w:p w:rsidR="00436CCC" w:rsidRDefault="00436CCC" w:rsidP="00436CCC">
      <w:pPr>
        <w:pStyle w:val="Overskrift2"/>
        <w:contextualSpacing w:val="0"/>
      </w:pPr>
      <w:r>
        <w:t xml:space="preserve">Regel </w:t>
      </w:r>
      <w:bookmarkStart w:id="11" w:name="_Toc382228582"/>
      <w:r>
        <w:t>6.4 Alle modelentiteter bør understøtte beskedfordeling</w:t>
      </w:r>
      <w:bookmarkEnd w:id="11"/>
    </w:p>
    <w:p w:rsidR="00436CCC" w:rsidRDefault="007E6A7A" w:rsidP="00436CCC">
      <w:r>
        <w:t xml:space="preserve">Reglen fastsætter en række attributter, som kan bruges til at afspejle datas forretningsmæssige og procesmæssige kontekst, for derved at muliggøre avanceret abonnementsopsætning i en beskedfordeler. </w:t>
      </w:r>
    </w:p>
    <w:p w:rsidR="00FF5125" w:rsidRDefault="00FF5125" w:rsidP="00FF5125">
      <w:pPr>
        <w:pStyle w:val="Overskrift3"/>
      </w:pPr>
      <w:r>
        <w:t>Ændring</w:t>
      </w:r>
    </w:p>
    <w:p w:rsidR="00FF5125" w:rsidRPr="00FF5125" w:rsidRDefault="007E6A7A" w:rsidP="00FF5125">
      <w:r>
        <w:t>En attribut tilføjes, for at kunne registrere den dataansvarlige myndighed – denne er ikke altid sammenfaldende med den registeransvarlige myndighed.</w:t>
      </w:r>
    </w:p>
    <w:p w:rsidR="00FF5125" w:rsidRDefault="00FF5125" w:rsidP="00FF5125">
      <w:pPr>
        <w:pStyle w:val="Overskrift3"/>
      </w:pPr>
      <w:r>
        <w:t>Baggrund for ændring</w:t>
      </w:r>
    </w:p>
    <w:p w:rsidR="007E6A7A" w:rsidRPr="007E6A7A" w:rsidRDefault="007E6A7A" w:rsidP="007E6A7A">
      <w:r>
        <w:t>Behovet er påpeget i forbindelse med metadataanvendelse i DIADEM og i forbindelse med udarbejdningen af referencearkitekturen for beskeddreven arkitektur</w:t>
      </w:r>
    </w:p>
    <w:p w:rsidR="00FF5125" w:rsidRDefault="00FF5125" w:rsidP="00FF5125">
      <w:pPr>
        <w:pStyle w:val="Overskrift3"/>
      </w:pPr>
      <w:r>
        <w:t>Implikationer</w:t>
      </w:r>
    </w:p>
    <w:p w:rsidR="006E07F9" w:rsidRDefault="007E6A7A" w:rsidP="006E07F9">
      <w:r>
        <w:t xml:space="preserve">Base </w:t>
      </w:r>
      <w:proofErr w:type="spellStart"/>
      <w:r>
        <w:t>project</w:t>
      </w:r>
      <w:proofErr w:type="spellEnd"/>
      <w:r>
        <w:t xml:space="preserve"> ændres for at afspejle reglerne – eksisterende modellering af DAGI er allerede bragt i overensstemmelse med ændringen.</w:t>
      </w:r>
    </w:p>
    <w:sectPr w:rsidR="006E07F9" w:rsidSect="009E377C">
      <w:headerReference w:type="default" r:id="rId9"/>
      <w:headerReference w:type="first" r:id="rId10"/>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BE" w:rsidRDefault="00657FBE">
      <w:r>
        <w:separator/>
      </w:r>
    </w:p>
  </w:endnote>
  <w:endnote w:type="continuationSeparator" w:id="0">
    <w:p w:rsidR="00657FBE" w:rsidRDefault="0065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BE" w:rsidRDefault="00657FBE">
      <w:r>
        <w:separator/>
      </w:r>
    </w:p>
  </w:footnote>
  <w:footnote w:type="continuationSeparator" w:id="0">
    <w:p w:rsidR="00657FBE" w:rsidRDefault="00657FBE">
      <w:r>
        <w:continuationSeparator/>
      </w:r>
    </w:p>
  </w:footnote>
  <w:footnote w:id="1">
    <w:p w:rsidR="005C53A8" w:rsidRDefault="005C53A8">
      <w:pPr>
        <w:pStyle w:val="Fodnotetekst"/>
      </w:pPr>
      <w:r>
        <w:rPr>
          <w:rStyle w:val="Fodnotehenvisning"/>
        </w:rPr>
        <w:footnoteRef/>
      </w:r>
      <w:r>
        <w:t xml:space="preserve"> Som led i </w:t>
      </w:r>
      <w:proofErr w:type="spellStart"/>
      <w:r>
        <w:t>værtøjsunderstøttelsen</w:t>
      </w:r>
      <w:proofErr w:type="spellEnd"/>
      <w:r>
        <w:t xml:space="preserve"> af modellering er der udviklet et Base-</w:t>
      </w:r>
      <w:proofErr w:type="spellStart"/>
      <w:r>
        <w:t>project</w:t>
      </w:r>
      <w:proofErr w:type="spellEnd"/>
      <w:r>
        <w:t xml:space="preserve"> – en Enterprise Architect fil, som indeholder de basale model-elementer samt </w:t>
      </w:r>
      <w:proofErr w:type="spellStart"/>
      <w:r>
        <w:t>toolbars</w:t>
      </w:r>
      <w:proofErr w:type="spellEnd"/>
      <w:r>
        <w:t xml:space="preserve"> til indsættelse af flere Grunddata-modelelementer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9D" w:rsidRPr="00433F79" w:rsidRDefault="006E07F9" w:rsidP="00F3309D">
    <w:pPr>
      <w:pStyle w:val="Sidehoved"/>
      <w:tabs>
        <w:tab w:val="clear" w:pos="4819"/>
        <w:tab w:val="clear" w:pos="9638"/>
        <w:tab w:val="left" w:pos="8051"/>
      </w:tabs>
      <w:rPr>
        <w:rStyle w:val="Sidetal"/>
      </w:rPr>
    </w:pPr>
    <w:r>
      <w:rPr>
        <w:noProof/>
      </w:rPr>
      <w:drawing>
        <wp:anchor distT="0" distB="0" distL="114300" distR="114300" simplePos="0" relativeHeight="251658239" behindDoc="0" locked="0" layoutInCell="1" allowOverlap="1" wp14:anchorId="6E246A08" wp14:editId="0604B4E3">
          <wp:simplePos x="0" y="377825"/>
          <wp:positionH relativeFrom="page">
            <wp:align>center</wp:align>
          </wp:positionH>
          <wp:positionV relativeFrom="page">
            <wp:posOffset>377825</wp:posOffset>
          </wp:positionV>
          <wp:extent cx="2105660" cy="415290"/>
          <wp:effectExtent l="0" t="0" r="8890" b="3810"/>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660" cy="415290"/>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12" w:name="SD_FLD_Page"/>
    <w:r w:rsidR="00F3309D" w:rsidRPr="00433F79">
      <w:rPr>
        <w:rStyle w:val="Sidetal"/>
      </w:rPr>
      <w:t>Side</w:t>
    </w:r>
    <w:bookmarkEnd w:id="12"/>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CF7D33">
      <w:rPr>
        <w:rStyle w:val="Sidetal"/>
        <w:noProof/>
      </w:rPr>
      <w:t>2</w:t>
    </w:r>
    <w:r w:rsidR="00F3309D" w:rsidRPr="00433F79">
      <w:rPr>
        <w:rStyle w:val="Sidetal"/>
      </w:rPr>
      <w:fldChar w:fldCharType="end"/>
    </w:r>
    <w:r w:rsidR="00F3309D" w:rsidRPr="00433F79">
      <w:rPr>
        <w:rStyle w:val="Sidetal"/>
      </w:rPr>
      <w:t xml:space="preserve"> </w:t>
    </w:r>
    <w:bookmarkStart w:id="13" w:name="SD_LAN_Of"/>
    <w:r>
      <w:rPr>
        <w:rStyle w:val="Sidetal"/>
      </w:rPr>
      <w:t>af</w:t>
    </w:r>
    <w:bookmarkEnd w:id="13"/>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CF7D33">
      <w:rPr>
        <w:rStyle w:val="Sidetal"/>
        <w:noProof/>
      </w:rPr>
      <w:t>3</w:t>
    </w:r>
    <w:r w:rsidR="00F3309D" w:rsidRPr="00433F79">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0" w:rsidRDefault="006E07F9" w:rsidP="00703C50">
    <w:pPr>
      <w:pStyle w:val="Sidehoved"/>
    </w:pPr>
    <w:r>
      <w:rPr>
        <w:noProof/>
      </w:rPr>
      <w:drawing>
        <wp:anchor distT="0" distB="0" distL="114300" distR="114300" simplePos="0" relativeHeight="251659264" behindDoc="0" locked="0" layoutInCell="1" allowOverlap="1" wp14:anchorId="05F6DBF8" wp14:editId="6A617988">
          <wp:simplePos x="0" y="0"/>
          <wp:positionH relativeFrom="page">
            <wp:align>center</wp:align>
          </wp:positionH>
          <wp:positionV relativeFrom="page">
            <wp:posOffset>377825</wp:posOffset>
          </wp:positionV>
          <wp:extent cx="2108200" cy="419100"/>
          <wp:effectExtent l="0" t="0" r="635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8200" cy="419100"/>
                  </a:xfrm>
                  <a:prstGeom prst="rect">
                    <a:avLst/>
                  </a:prstGeom>
                </pic:spPr>
              </pic:pic>
            </a:graphicData>
          </a:graphic>
          <wp14:sizeRelH relativeFrom="margin">
            <wp14:pctWidth>0</wp14:pctWidth>
          </wp14:sizeRelH>
          <wp14:sizeRelV relativeFrom="margin">
            <wp14:pctHeight>0</wp14:pctHeight>
          </wp14:sizeRelV>
        </wp:anchor>
      </w:drawing>
    </w:r>
  </w:p>
  <w:p w:rsidR="00107B13" w:rsidRDefault="00107B1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410018F"/>
    <w:multiLevelType w:val="hybridMultilevel"/>
    <w:tmpl w:val="DBF850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6">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7">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4"/>
  </w:num>
  <w:num w:numId="2">
    <w:abstractNumId w:val="11"/>
  </w:num>
  <w:num w:numId="3">
    <w:abstractNumId w:val="13"/>
  </w:num>
  <w:num w:numId="4">
    <w:abstractNumId w:val="9"/>
  </w:num>
  <w:num w:numId="5">
    <w:abstractNumId w:val="15"/>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16"/>
  </w:num>
  <w:num w:numId="18">
    <w:abstractNumId w:val="9"/>
  </w:num>
  <w:num w:numId="19">
    <w:abstractNumId w:val="15"/>
  </w:num>
  <w:num w:numId="20">
    <w:abstractNumId w:val="12"/>
  </w:num>
  <w:num w:numId="21">
    <w:abstractNumId w:val="10"/>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F9"/>
    <w:rsid w:val="000035B8"/>
    <w:rsid w:val="00017AB4"/>
    <w:rsid w:val="00022F36"/>
    <w:rsid w:val="000250D6"/>
    <w:rsid w:val="00025355"/>
    <w:rsid w:val="00036862"/>
    <w:rsid w:val="000421D4"/>
    <w:rsid w:val="00051A09"/>
    <w:rsid w:val="000565AB"/>
    <w:rsid w:val="00066058"/>
    <w:rsid w:val="00067296"/>
    <w:rsid w:val="000769DC"/>
    <w:rsid w:val="0008749C"/>
    <w:rsid w:val="000B0DAA"/>
    <w:rsid w:val="000B75AA"/>
    <w:rsid w:val="000D6E63"/>
    <w:rsid w:val="000F05E1"/>
    <w:rsid w:val="000F15FA"/>
    <w:rsid w:val="00101552"/>
    <w:rsid w:val="00107B13"/>
    <w:rsid w:val="001105C6"/>
    <w:rsid w:val="00114D87"/>
    <w:rsid w:val="0012489C"/>
    <w:rsid w:val="00136765"/>
    <w:rsid w:val="00153477"/>
    <w:rsid w:val="00153566"/>
    <w:rsid w:val="00161934"/>
    <w:rsid w:val="00161CC7"/>
    <w:rsid w:val="001642D9"/>
    <w:rsid w:val="00186F7F"/>
    <w:rsid w:val="0019217D"/>
    <w:rsid w:val="00192812"/>
    <w:rsid w:val="001A6137"/>
    <w:rsid w:val="001B007C"/>
    <w:rsid w:val="001C081F"/>
    <w:rsid w:val="001C4B5D"/>
    <w:rsid w:val="001F4299"/>
    <w:rsid w:val="00211AB6"/>
    <w:rsid w:val="00216BE3"/>
    <w:rsid w:val="002171DE"/>
    <w:rsid w:val="00217E5B"/>
    <w:rsid w:val="00227FFC"/>
    <w:rsid w:val="00234EF4"/>
    <w:rsid w:val="0024217B"/>
    <w:rsid w:val="0024430C"/>
    <w:rsid w:val="002672F6"/>
    <w:rsid w:val="00270BA3"/>
    <w:rsid w:val="00297E3C"/>
    <w:rsid w:val="002A2BF7"/>
    <w:rsid w:val="002B1D38"/>
    <w:rsid w:val="002E326D"/>
    <w:rsid w:val="002F2D9E"/>
    <w:rsid w:val="002F5B9A"/>
    <w:rsid w:val="002F65B1"/>
    <w:rsid w:val="00331E55"/>
    <w:rsid w:val="00350F46"/>
    <w:rsid w:val="003A2487"/>
    <w:rsid w:val="003A4BFC"/>
    <w:rsid w:val="003A7C5E"/>
    <w:rsid w:val="003E6170"/>
    <w:rsid w:val="003F7E2E"/>
    <w:rsid w:val="00406A77"/>
    <w:rsid w:val="00411E02"/>
    <w:rsid w:val="00420C65"/>
    <w:rsid w:val="0043074C"/>
    <w:rsid w:val="004357F5"/>
    <w:rsid w:val="00436CCC"/>
    <w:rsid w:val="0045008B"/>
    <w:rsid w:val="00483C3B"/>
    <w:rsid w:val="00493EAD"/>
    <w:rsid w:val="004C29DF"/>
    <w:rsid w:val="004C3BD5"/>
    <w:rsid w:val="004F3082"/>
    <w:rsid w:val="005001B3"/>
    <w:rsid w:val="00504494"/>
    <w:rsid w:val="0050453A"/>
    <w:rsid w:val="005140EA"/>
    <w:rsid w:val="0052131E"/>
    <w:rsid w:val="00523C5B"/>
    <w:rsid w:val="00545F55"/>
    <w:rsid w:val="00553194"/>
    <w:rsid w:val="00564020"/>
    <w:rsid w:val="00570BB3"/>
    <w:rsid w:val="00576C37"/>
    <w:rsid w:val="005802EE"/>
    <w:rsid w:val="00584378"/>
    <w:rsid w:val="005A0090"/>
    <w:rsid w:val="005B5A82"/>
    <w:rsid w:val="005C32DE"/>
    <w:rsid w:val="005C53A8"/>
    <w:rsid w:val="005D1B36"/>
    <w:rsid w:val="005E3E22"/>
    <w:rsid w:val="005E6CB9"/>
    <w:rsid w:val="00620DCC"/>
    <w:rsid w:val="00640ECC"/>
    <w:rsid w:val="00657FBE"/>
    <w:rsid w:val="00670E8C"/>
    <w:rsid w:val="00690C8C"/>
    <w:rsid w:val="00694D75"/>
    <w:rsid w:val="006D5EC7"/>
    <w:rsid w:val="006E07F9"/>
    <w:rsid w:val="006E60C1"/>
    <w:rsid w:val="006E694D"/>
    <w:rsid w:val="00702A50"/>
    <w:rsid w:val="00703C50"/>
    <w:rsid w:val="00711522"/>
    <w:rsid w:val="007128F0"/>
    <w:rsid w:val="00722C5A"/>
    <w:rsid w:val="007240BF"/>
    <w:rsid w:val="007317FB"/>
    <w:rsid w:val="00736658"/>
    <w:rsid w:val="00751A9F"/>
    <w:rsid w:val="007558AC"/>
    <w:rsid w:val="00757790"/>
    <w:rsid w:val="00794A97"/>
    <w:rsid w:val="007955B4"/>
    <w:rsid w:val="007B1E75"/>
    <w:rsid w:val="007B2216"/>
    <w:rsid w:val="007C0A94"/>
    <w:rsid w:val="007C1E8D"/>
    <w:rsid w:val="007C2199"/>
    <w:rsid w:val="007C3256"/>
    <w:rsid w:val="007E6A7A"/>
    <w:rsid w:val="007F382F"/>
    <w:rsid w:val="00810F06"/>
    <w:rsid w:val="00812F86"/>
    <w:rsid w:val="008208BC"/>
    <w:rsid w:val="00827399"/>
    <w:rsid w:val="00832E2F"/>
    <w:rsid w:val="00833F8D"/>
    <w:rsid w:val="00841F21"/>
    <w:rsid w:val="00850EB5"/>
    <w:rsid w:val="008511A5"/>
    <w:rsid w:val="0085337D"/>
    <w:rsid w:val="0085744B"/>
    <w:rsid w:val="00860E04"/>
    <w:rsid w:val="008632C9"/>
    <w:rsid w:val="00863559"/>
    <w:rsid w:val="008A0687"/>
    <w:rsid w:val="008A22B5"/>
    <w:rsid w:val="008A6101"/>
    <w:rsid w:val="008B33B1"/>
    <w:rsid w:val="008B3B52"/>
    <w:rsid w:val="008C7EAD"/>
    <w:rsid w:val="008D0573"/>
    <w:rsid w:val="008D1A60"/>
    <w:rsid w:val="008D21AE"/>
    <w:rsid w:val="008D5495"/>
    <w:rsid w:val="008D7E07"/>
    <w:rsid w:val="008F0FE1"/>
    <w:rsid w:val="008F1CCF"/>
    <w:rsid w:val="00930E78"/>
    <w:rsid w:val="0093235B"/>
    <w:rsid w:val="00946A30"/>
    <w:rsid w:val="009508BA"/>
    <w:rsid w:val="00952765"/>
    <w:rsid w:val="00956D8A"/>
    <w:rsid w:val="00970441"/>
    <w:rsid w:val="00971AA9"/>
    <w:rsid w:val="009859A7"/>
    <w:rsid w:val="00985C7E"/>
    <w:rsid w:val="009911AD"/>
    <w:rsid w:val="009A06B6"/>
    <w:rsid w:val="009A06D8"/>
    <w:rsid w:val="009A167D"/>
    <w:rsid w:val="009B1328"/>
    <w:rsid w:val="009B7C02"/>
    <w:rsid w:val="009C28EF"/>
    <w:rsid w:val="009C388B"/>
    <w:rsid w:val="009C3A4A"/>
    <w:rsid w:val="009C6009"/>
    <w:rsid w:val="009D3340"/>
    <w:rsid w:val="009E163A"/>
    <w:rsid w:val="009E377C"/>
    <w:rsid w:val="009F27A2"/>
    <w:rsid w:val="009F3067"/>
    <w:rsid w:val="00A059FC"/>
    <w:rsid w:val="00A24BB9"/>
    <w:rsid w:val="00A30CBD"/>
    <w:rsid w:val="00A42BEC"/>
    <w:rsid w:val="00A461AC"/>
    <w:rsid w:val="00A556F2"/>
    <w:rsid w:val="00A575C5"/>
    <w:rsid w:val="00A65A51"/>
    <w:rsid w:val="00A825BA"/>
    <w:rsid w:val="00A82C53"/>
    <w:rsid w:val="00AB47BB"/>
    <w:rsid w:val="00AB68E5"/>
    <w:rsid w:val="00AC6FF2"/>
    <w:rsid w:val="00AD49B3"/>
    <w:rsid w:val="00AF6297"/>
    <w:rsid w:val="00B17861"/>
    <w:rsid w:val="00B20710"/>
    <w:rsid w:val="00B30C69"/>
    <w:rsid w:val="00B51927"/>
    <w:rsid w:val="00B70F67"/>
    <w:rsid w:val="00B72585"/>
    <w:rsid w:val="00B7351E"/>
    <w:rsid w:val="00B77F52"/>
    <w:rsid w:val="00B8541D"/>
    <w:rsid w:val="00B91E7D"/>
    <w:rsid w:val="00B96627"/>
    <w:rsid w:val="00BA2C8D"/>
    <w:rsid w:val="00BA56DF"/>
    <w:rsid w:val="00BB1363"/>
    <w:rsid w:val="00BC3C7C"/>
    <w:rsid w:val="00BD0257"/>
    <w:rsid w:val="00BE7A2C"/>
    <w:rsid w:val="00BE7FBE"/>
    <w:rsid w:val="00C05117"/>
    <w:rsid w:val="00C22FED"/>
    <w:rsid w:val="00C31655"/>
    <w:rsid w:val="00C346EB"/>
    <w:rsid w:val="00C44DE3"/>
    <w:rsid w:val="00C6591D"/>
    <w:rsid w:val="00C769F5"/>
    <w:rsid w:val="00C86BEE"/>
    <w:rsid w:val="00C928F6"/>
    <w:rsid w:val="00CA0509"/>
    <w:rsid w:val="00CA1B31"/>
    <w:rsid w:val="00CB2E97"/>
    <w:rsid w:val="00CB548C"/>
    <w:rsid w:val="00CC05CC"/>
    <w:rsid w:val="00CE3F8A"/>
    <w:rsid w:val="00CF18B3"/>
    <w:rsid w:val="00CF1C87"/>
    <w:rsid w:val="00CF270F"/>
    <w:rsid w:val="00CF367C"/>
    <w:rsid w:val="00CF7153"/>
    <w:rsid w:val="00CF7D33"/>
    <w:rsid w:val="00D10112"/>
    <w:rsid w:val="00D252B0"/>
    <w:rsid w:val="00D27834"/>
    <w:rsid w:val="00D3791D"/>
    <w:rsid w:val="00D416A3"/>
    <w:rsid w:val="00D522CD"/>
    <w:rsid w:val="00D678FF"/>
    <w:rsid w:val="00D84A3E"/>
    <w:rsid w:val="00D86347"/>
    <w:rsid w:val="00D9181F"/>
    <w:rsid w:val="00D933A8"/>
    <w:rsid w:val="00DA7968"/>
    <w:rsid w:val="00DC0CCF"/>
    <w:rsid w:val="00DC3E1B"/>
    <w:rsid w:val="00DD0A98"/>
    <w:rsid w:val="00DD3829"/>
    <w:rsid w:val="00DD545E"/>
    <w:rsid w:val="00DE6A38"/>
    <w:rsid w:val="00E14B72"/>
    <w:rsid w:val="00E17D1D"/>
    <w:rsid w:val="00E559C6"/>
    <w:rsid w:val="00E57C26"/>
    <w:rsid w:val="00E932E7"/>
    <w:rsid w:val="00E9513F"/>
    <w:rsid w:val="00EB6620"/>
    <w:rsid w:val="00ED59B0"/>
    <w:rsid w:val="00EE1C0D"/>
    <w:rsid w:val="00EE5DBF"/>
    <w:rsid w:val="00EE6B61"/>
    <w:rsid w:val="00EF1556"/>
    <w:rsid w:val="00EF36FB"/>
    <w:rsid w:val="00F12DC3"/>
    <w:rsid w:val="00F1746F"/>
    <w:rsid w:val="00F17F2E"/>
    <w:rsid w:val="00F3309D"/>
    <w:rsid w:val="00F33D23"/>
    <w:rsid w:val="00F54527"/>
    <w:rsid w:val="00F60DC0"/>
    <w:rsid w:val="00F67E15"/>
    <w:rsid w:val="00F71D4D"/>
    <w:rsid w:val="00F73B30"/>
    <w:rsid w:val="00F76F6E"/>
    <w:rsid w:val="00F82D3E"/>
    <w:rsid w:val="00F925B7"/>
    <w:rsid w:val="00F93017"/>
    <w:rsid w:val="00F93B1E"/>
    <w:rsid w:val="00F966C1"/>
    <w:rsid w:val="00F96741"/>
    <w:rsid w:val="00F977F9"/>
    <w:rsid w:val="00FA0087"/>
    <w:rsid w:val="00FA2375"/>
    <w:rsid w:val="00FA78CE"/>
    <w:rsid w:val="00FB045F"/>
    <w:rsid w:val="00FB099C"/>
    <w:rsid w:val="00FF51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link w:val="Overskrift3Tegn"/>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2131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Ind w:w="0" w:type="dxa"/>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6E07F9"/>
    <w:pPr>
      <w:spacing w:after="0" w:line="240" w:lineRule="auto"/>
      <w:ind w:left="720"/>
    </w:pPr>
    <w:rPr>
      <w:rFonts w:ascii="Calibri" w:eastAsiaTheme="minorHAnsi" w:hAnsi="Calibri"/>
      <w:sz w:val="22"/>
      <w:szCs w:val="22"/>
      <w:lang w:eastAsia="en-US"/>
    </w:rPr>
  </w:style>
  <w:style w:type="character" w:customStyle="1" w:styleId="Overskrift1Tegn">
    <w:name w:val="Overskrift 1 Tegn"/>
    <w:basedOn w:val="Standardskrifttypeiafsnit"/>
    <w:link w:val="Overskrift1"/>
    <w:uiPriority w:val="1"/>
    <w:rsid w:val="00FF5125"/>
    <w:rPr>
      <w:rFonts w:ascii="Arial" w:hAnsi="Arial" w:cs="Arial"/>
      <w:bCs/>
      <w:sz w:val="26"/>
      <w:szCs w:val="32"/>
    </w:rPr>
  </w:style>
  <w:style w:type="character" w:customStyle="1" w:styleId="Overskrift3Tegn">
    <w:name w:val="Overskrift 3 Tegn"/>
    <w:basedOn w:val="Standardskrifttypeiafsnit"/>
    <w:link w:val="Overskrift3"/>
    <w:uiPriority w:val="1"/>
    <w:rsid w:val="00FF5125"/>
    <w:rPr>
      <w:rFonts w:cs="Arial"/>
      <w:bCs/>
      <w:i/>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link w:val="Overskrift3Tegn"/>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2131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Ind w:w="0" w:type="dxa"/>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6E07F9"/>
    <w:pPr>
      <w:spacing w:after="0" w:line="240" w:lineRule="auto"/>
      <w:ind w:left="720"/>
    </w:pPr>
    <w:rPr>
      <w:rFonts w:ascii="Calibri" w:eastAsiaTheme="minorHAnsi" w:hAnsi="Calibri"/>
      <w:sz w:val="22"/>
      <w:szCs w:val="22"/>
      <w:lang w:eastAsia="en-US"/>
    </w:rPr>
  </w:style>
  <w:style w:type="character" w:customStyle="1" w:styleId="Overskrift1Tegn">
    <w:name w:val="Overskrift 1 Tegn"/>
    <w:basedOn w:val="Standardskrifttypeiafsnit"/>
    <w:link w:val="Overskrift1"/>
    <w:uiPriority w:val="1"/>
    <w:rsid w:val="00FF5125"/>
    <w:rPr>
      <w:rFonts w:ascii="Arial" w:hAnsi="Arial" w:cs="Arial"/>
      <w:bCs/>
      <w:sz w:val="26"/>
      <w:szCs w:val="32"/>
    </w:rPr>
  </w:style>
  <w:style w:type="character" w:customStyle="1" w:styleId="Overskrift3Tegn">
    <w:name w:val="Overskrift 3 Tegn"/>
    <w:basedOn w:val="Standardskrifttypeiafsnit"/>
    <w:link w:val="Overskrift3"/>
    <w:uiPriority w:val="1"/>
    <w:rsid w:val="00FF5125"/>
    <w:rPr>
      <w:rFonts w:cs="Arial"/>
      <w:bCs/>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4948-F957-46A5-B49E-14C52F08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3A611108.dotm</Template>
  <TotalTime>1</TotalTime>
  <Pages>3</Pages>
  <Words>534</Words>
  <Characters>3660</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Per de Place Bjørn</dc:creator>
  <cp:lastModifiedBy>Tanja Haagh Jensen</cp:lastModifiedBy>
  <cp:revision>2</cp:revision>
  <dcterms:created xsi:type="dcterms:W3CDTF">2014-03-24T13:52:00Z</dcterms:created>
  <dcterms:modified xsi:type="dcterms:W3CDTF">2014-03-24T13:52:00Z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Skriv navnet på den nye profil</vt:lpwstr>
  </property>
  <property fmtid="{D5CDD505-2E9C-101B-9397-08002B2CF9AE}" pid="9" name="SD_DocumentLanguage">
    <vt:lpwstr>da-DK</vt:lpwstr>
  </property>
  <property fmtid="{D5CDD505-2E9C-101B-9397-08002B2CF9AE}" pid="10" name="sdDocumentDate">
    <vt:lpwstr>41708</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Skriv navnet på den nye profil</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Per de Place Bjørn</vt:lpwstr>
  </property>
  <property fmtid="{D5CDD505-2E9C-101B-9397-08002B2CF9AE}" pid="20" name="SD_USR_Title">
    <vt:lpwstr>Informationsarkitekt</vt:lpwstr>
  </property>
  <property fmtid="{D5CDD505-2E9C-101B-9397-08002B2CF9AE}" pid="21" name="SD_USR_DirectPhone">
    <vt:lpwstr>+45 28741000</vt:lpwstr>
  </property>
  <property fmtid="{D5CDD505-2E9C-101B-9397-08002B2CF9AE}" pid="22" name="SD_USR_Email">
    <vt:lpwstr>place@digst.dk</vt:lpwstr>
  </property>
  <property fmtid="{D5CDD505-2E9C-101B-9397-08002B2CF9AE}" pid="23" name="SD_USR_SagsbehandlerIni">
    <vt:lpwstr>PLACE</vt:lpwstr>
  </property>
  <property fmtid="{D5CDD505-2E9C-101B-9397-08002B2CF9AE}" pid="24" name="SD_USR_Enhed">
    <vt:lpwstr>KGI</vt:lpwstr>
  </property>
  <property fmtid="{D5CDD505-2E9C-101B-9397-08002B2CF9AE}" pid="25" name="DocumentInfoFinished">
    <vt:lpwstr>True</vt:lpwstr>
  </property>
</Properties>
</file>