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0" w:rsidRDefault="00EC7C50" w:rsidP="00881D06">
      <w:pPr>
        <w:spacing w:after="200" w:line="276" w:lineRule="auto"/>
        <w:jc w:val="center"/>
      </w:pPr>
      <w:bookmarkStart w:id="0" w:name="_Toc272753529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Vejledning til </w:t>
      </w:r>
      <w:r w:rsidRPr="00E71A30">
        <w:rPr>
          <w:rFonts w:ascii="Arial" w:hAnsi="Arial" w:cs="Arial"/>
          <w:sz w:val="28"/>
          <w:szCs w:val="28"/>
        </w:rPr>
        <w:t>Projektinitieringsdokument (PID)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bookmarkEnd w:id="0"/>
    </w:p>
    <w:p w:rsidR="00EC7C50" w:rsidRPr="00881D06" w:rsidRDefault="00EC7C50" w:rsidP="00881D06">
      <w:pPr>
        <w:rPr>
          <w:rFonts w:ascii="Arial" w:hAnsi="Arial" w:cs="Arial"/>
          <w:sz w:val="28"/>
          <w:szCs w:val="28"/>
        </w:rPr>
      </w:pPr>
      <w:r w:rsidRPr="00881D06">
        <w:rPr>
          <w:rFonts w:ascii="Arial" w:hAnsi="Arial" w:cs="Arial"/>
          <w:sz w:val="28"/>
          <w:szCs w:val="28"/>
        </w:rPr>
        <w:t>Indholdsfortegnelse</w:t>
      </w:r>
    </w:p>
    <w:p w:rsidR="00EC7C50" w:rsidRPr="00194B61" w:rsidRDefault="00EC7C50" w:rsidP="00AC1D1D"/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TOC \o "3-3" \h \z \t "Overskrift 1;1;Overskrift 2;2;MP 1 Overskriftsniveau;1;MP 2 Overskriftsniveau;2;Table Heading;1" </w:instrText>
      </w:r>
      <w:r>
        <w:rPr>
          <w:rFonts w:ascii="Arial" w:hAnsi="Arial" w:cs="Arial"/>
          <w:sz w:val="28"/>
          <w:szCs w:val="28"/>
        </w:rPr>
        <w:fldChar w:fldCharType="separate"/>
      </w:r>
      <w:hyperlink w:anchor="_Toc319999092" w:history="1">
        <w:r w:rsidRPr="00726AA5">
          <w:rPr>
            <w:rStyle w:val="Hyperlink"/>
            <w:noProof/>
          </w:rPr>
          <w:t>Hvad er projektinitieringsdokumentet?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3" w:history="1">
        <w:r w:rsidRPr="00726AA5">
          <w:rPr>
            <w:rStyle w:val="Hyperlink"/>
            <w:noProof/>
          </w:rPr>
          <w:t>Formålet med projektinitieringsdokumentet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4" w:history="1">
        <w:r w:rsidRPr="00726AA5">
          <w:rPr>
            <w:rStyle w:val="Hyperlink"/>
            <w:noProof/>
          </w:rPr>
          <w:t>Hvem modtager projektinitieringsdokumentet?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5" w:history="1">
        <w:r w:rsidRPr="00726AA5">
          <w:rPr>
            <w:rStyle w:val="Hyperlink"/>
            <w:noProof/>
          </w:rPr>
          <w:t>Udarbejdelse af projektinitieringsdokumentet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6" w:history="1">
        <w:r w:rsidRPr="00726AA5">
          <w:rPr>
            <w:rStyle w:val="Hyperlink"/>
            <w:noProof/>
          </w:rPr>
          <w:t>Skabelon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7" w:history="1">
        <w:r w:rsidRPr="00726AA5">
          <w:rPr>
            <w:rStyle w:val="Hyperlink"/>
            <w:noProof/>
          </w:rPr>
          <w:t>Vejledning til afsnit 6 – Projektets tekniske 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7C50" w:rsidRDefault="00EC7C50">
      <w:pPr>
        <w:pStyle w:val="TOC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19999098" w:history="1">
        <w:r w:rsidRPr="00726AA5">
          <w:rPr>
            <w:rStyle w:val="Hyperlink"/>
            <w:noProof/>
          </w:rPr>
          <w:t>Tips og gode ideer til arbejdet med Projektinitieringsdokumentet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_Toc319999098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7C50" w:rsidRDefault="00EC7C50" w:rsidP="00AB1239">
      <w:pPr>
        <w:spacing w:after="120" w:line="240" w:lineRule="auto"/>
        <w:jc w:val="both"/>
        <w:outlineLvl w:val="1"/>
      </w:pPr>
      <w:r>
        <w:rPr>
          <w:rFonts w:ascii="Arial" w:hAnsi="Arial" w:cs="Arial"/>
          <w:sz w:val="28"/>
          <w:szCs w:val="28"/>
        </w:rPr>
        <w:fldChar w:fldCharType="end"/>
      </w:r>
    </w:p>
    <w:p w:rsidR="00EC7C50" w:rsidRDefault="00EC7C50" w:rsidP="00AC1D1D">
      <w:pPr>
        <w:spacing w:after="120" w:line="240" w:lineRule="auto"/>
        <w:jc w:val="both"/>
      </w:pPr>
    </w:p>
    <w:p w:rsidR="00EC7C50" w:rsidRDefault="00EC7C50" w:rsidP="00AC1D1D">
      <w:pPr>
        <w:spacing w:after="120" w:line="240" w:lineRule="auto"/>
        <w:jc w:val="both"/>
      </w:pPr>
    </w:p>
    <w:p w:rsidR="00EC7C50" w:rsidRDefault="00EC7C50" w:rsidP="00AC1D1D">
      <w:pPr>
        <w:spacing w:after="120" w:line="240" w:lineRule="auto"/>
        <w:jc w:val="both"/>
      </w:pPr>
    </w:p>
    <w:p w:rsidR="00EC7C50" w:rsidRDefault="00EC7C50" w:rsidP="00AC1D1D">
      <w:pPr>
        <w:spacing w:after="120" w:line="240" w:lineRule="auto"/>
        <w:jc w:val="both"/>
      </w:pPr>
    </w:p>
    <w:p w:rsidR="00EC7C50" w:rsidRPr="00AB1239" w:rsidRDefault="00EC7C50" w:rsidP="00AB1239">
      <w:pPr>
        <w:rPr>
          <w:rFonts w:ascii="Arial" w:hAnsi="Arial" w:cs="Arial"/>
          <w:sz w:val="28"/>
          <w:szCs w:val="28"/>
        </w:rPr>
      </w:pPr>
      <w:r>
        <w:br w:type="page"/>
      </w:r>
      <w:bookmarkStart w:id="1" w:name="_Toc273614557"/>
      <w:bookmarkStart w:id="2" w:name="_Toc273614558"/>
      <w:bookmarkStart w:id="3" w:name="_Toc273614559"/>
      <w:bookmarkEnd w:id="1"/>
      <w:bookmarkEnd w:id="2"/>
      <w:bookmarkEnd w:id="3"/>
      <w:r w:rsidRPr="00AB1239">
        <w:rPr>
          <w:rFonts w:ascii="Arial" w:hAnsi="Arial" w:cs="Arial"/>
          <w:sz w:val="28"/>
          <w:szCs w:val="28"/>
        </w:rPr>
        <w:t>Vejledning til udarbejdelse af projektinitieringsdokument (PID)</w:t>
      </w:r>
    </w:p>
    <w:p w:rsidR="00EC7C50" w:rsidRDefault="00EC7C50" w:rsidP="00AC1D1D">
      <w:pPr>
        <w:pStyle w:val="MP2Overskriftsniveau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4" w:name="_Toc319999092"/>
      <w:r w:rsidRPr="00AB1239">
        <w:t>Hvad er projektinitieringsdokumentet?</w:t>
      </w:r>
      <w:bookmarkEnd w:id="4"/>
    </w:p>
    <w:p w:rsidR="00EC7C50" w:rsidRDefault="00EC7C50" w:rsidP="00AC1D1D">
      <w:pPr>
        <w:pStyle w:val="MPBrdtekst"/>
      </w:pPr>
      <w:r>
        <w:t>Projektinitieringsdokumentet er det dokument, der fastholder de overordnede forventninger til og rammer for projektet. Dokumentet kan opfattes som kontrakten mellem styregruppen (herunder forretningen) og projektlederen. I dokumentet udstikkes projektets kurs og projektets omfang fastsættes. Dokumentet udgør således aftalen om projektet og skal godkendes af styregruppen.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 xml:space="preserve">Dokumentet definerer projektet og udgør grundlaget for ledelsen og styringen af projektet og i sidste ende vurderingen af hvorvidt projektet har været en succes. 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>Dokumentet er et obligatorisk ledelsesprodukt i den fælles statslige it-projektmodel. Skabelonen er obligatorisk at anvende for it-projekter over 10 mio. kr.</w:t>
      </w:r>
    </w:p>
    <w:p w:rsidR="00EC7C50" w:rsidRDefault="00EC7C50" w:rsidP="00AC1D1D">
      <w:pPr>
        <w:pStyle w:val="MPBrdtekst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5" w:name="_Toc319999093"/>
      <w:r w:rsidRPr="00AB1239">
        <w:t>Formålet med projektinitieringsdokumentet</w:t>
      </w:r>
      <w:bookmarkEnd w:id="5"/>
    </w:p>
    <w:p w:rsidR="00EC7C50" w:rsidRDefault="00EC7C50" w:rsidP="00AC1D1D">
      <w:pPr>
        <w:pStyle w:val="MPBrdtekst"/>
      </w:pPr>
      <w:r>
        <w:t>Projektinitieringsdokumentet har to primære formål:</w:t>
      </w:r>
    </w:p>
    <w:p w:rsidR="00EC7C50" w:rsidRPr="00BE5FFF" w:rsidRDefault="00EC7C50" w:rsidP="00AC1D1D">
      <w:pPr>
        <w:pStyle w:val="MPBrdtekst"/>
        <w:numPr>
          <w:ilvl w:val="0"/>
          <w:numId w:val="7"/>
        </w:numPr>
      </w:pPr>
      <w:r>
        <w:t>d</w:t>
      </w:r>
      <w:r w:rsidRPr="00BE5FFF">
        <w:t>et skal sikre, at projektet har et sta</w:t>
      </w:r>
      <w:r>
        <w:t>bilt grundlag, før s</w:t>
      </w:r>
      <w:r w:rsidRPr="00BE5FFF">
        <w:t>tyregruppen forpligte</w:t>
      </w:r>
      <w:r>
        <w:t>r</w:t>
      </w:r>
      <w:r w:rsidRPr="00BE5FFF">
        <w:t xml:space="preserve"> sig til projektet</w:t>
      </w:r>
      <w:r>
        <w:t>, herunder afholdelse af væsentlige udgifter</w:t>
      </w:r>
    </w:p>
    <w:p w:rsidR="00EC7C50" w:rsidRPr="00BE5FFF" w:rsidRDefault="00EC7C50" w:rsidP="00AC1D1D">
      <w:pPr>
        <w:pStyle w:val="MPBrdtekst"/>
        <w:numPr>
          <w:ilvl w:val="0"/>
          <w:numId w:val="7"/>
        </w:numPr>
      </w:pPr>
      <w:r>
        <w:t>d</w:t>
      </w:r>
      <w:r w:rsidRPr="00BE5FFF">
        <w:t xml:space="preserve">et skal fungere som et grunddokument </w:t>
      </w:r>
      <w:r>
        <w:t xml:space="preserve">(baseline) </w:t>
      </w:r>
      <w:r w:rsidRPr="00BE5FFF">
        <w:t xml:space="preserve">i forhold til hvilket </w:t>
      </w:r>
      <w:r>
        <w:t>s</w:t>
      </w:r>
      <w:r w:rsidRPr="00BE5FFF">
        <w:t xml:space="preserve">tyregruppen og projektlederen kan vurdere fremdrift, emner angående afvigelsesstyring og løbende spørgsmål om </w:t>
      </w:r>
      <w:r>
        <w:t>fortsættelse af projektet.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 xml:space="preserve">Projektinitieringsdokumentet skal også give styregruppen et grundlag til at vurdere om det overordnede formål med projektet dækkes af projektets leverancer og fremgangsmåde. 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>Det sikres med dokumentet, at ledelsen involveres og træffer forretnings- og prioriteringsmæssige beslutninger i forhold til de godkendte rammer og den ajourførte business case. Samtidig sikres forretningsledelsens mulighed for at forventningsafstemme i forhold til det produkt, forretningen skal overtage ejerskab af, drifte og vedligeholde når projektet slutter.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>Projektinitieringsdokumentet skal anvendes ved risikovurdering i regi af Statens it-projektråd.</w:t>
      </w:r>
    </w:p>
    <w:p w:rsidR="00EC7C50" w:rsidRDefault="00EC7C50" w:rsidP="00AC1D1D">
      <w:pPr>
        <w:pStyle w:val="MPBrdtekst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6" w:name="_Toc319999094"/>
      <w:r w:rsidRPr="00AB1239">
        <w:t>Hvem modtager projektinitieringsdokumentet?</w:t>
      </w:r>
      <w:bookmarkEnd w:id="6"/>
    </w:p>
    <w:p w:rsidR="00EC7C50" w:rsidRDefault="00EC7C50" w:rsidP="00AC1D1D">
      <w:pPr>
        <w:pStyle w:val="MPBrdtekst"/>
      </w:pPr>
      <w:r>
        <w:t>Styregruppen er den primære modtager af projektinitieringsdokumentet. Styregruppen skal godkende projektinitieringsdokumentet. Statens it-projektråds sekretariat er desuden modtager af dokumentet i forbindelse med risikovurderingen.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 xml:space="preserve">Projektinitieringsdokumentet skal endvidere kunne bruges af projektmedarbejderne som fælles referencegrundlag. </w:t>
      </w:r>
    </w:p>
    <w:p w:rsidR="00EC7C50" w:rsidRDefault="00EC7C50" w:rsidP="00AC1D1D">
      <w:pPr>
        <w:pStyle w:val="MPBrdtekst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7" w:name="_Toc319999095"/>
      <w:r w:rsidRPr="00AB1239">
        <w:t>Udarbejdelse af projektinitieringsdokumentet</w:t>
      </w:r>
      <w:bookmarkEnd w:id="7"/>
    </w:p>
    <w:p w:rsidR="00EC7C50" w:rsidRDefault="00EC7C50" w:rsidP="00AC1D1D">
      <w:pPr>
        <w:pStyle w:val="MPBrdtekst"/>
      </w:pPr>
      <w:r>
        <w:t>Projektinitieringsdokumentet udarbejdes og godkendes i forbindelse med den reelle projektetablering i analysefasen. Ved godkendelse af projektinitieringsdokumentet (og business case) igangsættes projektet formelt.</w:t>
      </w:r>
    </w:p>
    <w:p w:rsidR="00EC7C50" w:rsidRDefault="00EC7C50" w:rsidP="00AC1D1D">
      <w:pPr>
        <w:pStyle w:val="MPBrdtekst"/>
      </w:pPr>
      <w:r>
        <w:t xml:space="preserve">Opdatering af dokumentet sker efter styregruppens godkendelse af afvigelser til projektet. Disse forelægges styregruppen i form i afvigelsesanmodninger. Ved faseovergangene vedlægges det senest opdaterede projektinitieringsdokument som en del af beslutningsgrundlaget ved faseovergangene. 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alt="Ny PID.jpg" style="width:475.5pt;height:104.25pt;visibility:visible">
            <v:imagedata r:id="rId7" o:title=""/>
          </v:shape>
        </w:pict>
      </w:r>
    </w:p>
    <w:p w:rsidR="00EC7C50" w:rsidRDefault="00EC7C50" w:rsidP="00AC1D1D">
      <w:pPr>
        <w:pStyle w:val="MPBrdtekst"/>
      </w:pPr>
    </w:p>
    <w:p w:rsidR="00EC7C50" w:rsidRPr="00BE5FFF" w:rsidRDefault="00EC7C50" w:rsidP="00AC1D1D">
      <w:pPr>
        <w:pStyle w:val="MPBrdtekst"/>
      </w:pPr>
      <w:r>
        <w:t>Ansvaret for udarbejdelse af projektinitieringsdokumentet ligger hos projektlederen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8" w:name="_Toc319999096"/>
      <w:r w:rsidRPr="00AB1239">
        <w:t>Skabelon</w:t>
      </w:r>
      <w:bookmarkEnd w:id="8"/>
    </w:p>
    <w:p w:rsidR="00EC7C50" w:rsidRDefault="00EC7C50" w:rsidP="00AC1D1D">
      <w:pPr>
        <w:pStyle w:val="MPBrdtekst"/>
      </w:pPr>
      <w:r>
        <w:t xml:space="preserve">I skabelonen er der ved mange overskrifter angivet en kort vejledning til udfyldelse af det konkrete afsnit. Vejledning er markeret med [en hård parentes], og slettes ved udfyldelse af skabelonen. </w:t>
      </w:r>
      <w:r w:rsidRPr="007C4940">
        <w:t xml:space="preserve">Alle afsnit er obligatoriske </w:t>
      </w:r>
      <w:r>
        <w:t>med mindre andet er anført</w:t>
      </w:r>
      <w:r w:rsidRPr="007C4940">
        <w:t>.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 xml:space="preserve">Projektinitieringsdokumentet er et paraplydokument, hvorfra der refereres til underdokumenter. 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</w:pPr>
      <w:r>
        <w:t>Projektinitieringsdokumentet skal som minimum suppleres med følgende dokumenter:</w:t>
      </w:r>
    </w:p>
    <w:p w:rsidR="00EC7C50" w:rsidRDefault="00EC7C50" w:rsidP="00AC1D1D">
      <w:pPr>
        <w:pStyle w:val="MPBrdtekst"/>
      </w:pPr>
    </w:p>
    <w:p w:rsidR="00EC7C50" w:rsidRDefault="00EC7C50" w:rsidP="00AC1D1D">
      <w:pPr>
        <w:pStyle w:val="MPBrdtekst"/>
        <w:numPr>
          <w:ilvl w:val="0"/>
          <w:numId w:val="8"/>
        </w:numPr>
      </w:pPr>
      <w:r>
        <w:t>B</w:t>
      </w:r>
      <w:r w:rsidRPr="00BE5FFF">
        <w:t xml:space="preserve">usiness case </w:t>
      </w:r>
    </w:p>
    <w:p w:rsidR="00EC7C50" w:rsidRPr="00BE5FFF" w:rsidRDefault="00EC7C50" w:rsidP="00AC1D1D">
      <w:pPr>
        <w:pStyle w:val="MPBrdtekst"/>
        <w:numPr>
          <w:ilvl w:val="0"/>
          <w:numId w:val="8"/>
        </w:numPr>
      </w:pPr>
      <w:r>
        <w:t>Ri</w:t>
      </w:r>
      <w:r w:rsidRPr="00BE5FFF">
        <w:t>s</w:t>
      </w:r>
      <w:r>
        <w:t>i</w:t>
      </w:r>
      <w:r w:rsidRPr="00BE5FFF">
        <w:t>koanalyse</w:t>
      </w:r>
    </w:p>
    <w:p w:rsidR="00EC7C50" w:rsidRDefault="00EC7C50" w:rsidP="00AC1D1D">
      <w:pPr>
        <w:pStyle w:val="MPBrdtekst"/>
        <w:numPr>
          <w:ilvl w:val="0"/>
          <w:numId w:val="8"/>
        </w:numPr>
      </w:pPr>
      <w:r>
        <w:t>K</w:t>
      </w:r>
      <w:r w:rsidRPr="00BE5FFF">
        <w:t>valitetsplan</w:t>
      </w:r>
    </w:p>
    <w:p w:rsidR="00EC7C50" w:rsidRDefault="00EC7C50" w:rsidP="00AC1D1D">
      <w:pPr>
        <w:pStyle w:val="MPBrdtekst"/>
        <w:numPr>
          <w:ilvl w:val="0"/>
          <w:numId w:val="8"/>
        </w:numPr>
      </w:pPr>
      <w:r>
        <w:t>Gevinstrealiseringsplan</w:t>
      </w:r>
      <w:r w:rsidRPr="00BE5FFF">
        <w:t xml:space="preserve"> </w:t>
      </w:r>
    </w:p>
    <w:p w:rsidR="00EC7C50" w:rsidRDefault="00EC7C50" w:rsidP="00AC1D1D">
      <w:pPr>
        <w:pStyle w:val="MPBrdtekst"/>
        <w:numPr>
          <w:ilvl w:val="0"/>
          <w:numId w:val="8"/>
        </w:numPr>
      </w:pPr>
      <w:r>
        <w:t>Interessentanalyse</w:t>
      </w:r>
    </w:p>
    <w:p w:rsidR="00EC7C50" w:rsidRDefault="00EC7C50" w:rsidP="00AC1D1D">
      <w:pPr>
        <w:pStyle w:val="MPBrdtekst"/>
        <w:numPr>
          <w:ilvl w:val="0"/>
          <w:numId w:val="8"/>
        </w:numPr>
      </w:pPr>
      <w:r>
        <w:t>Kommunikationsplan</w:t>
      </w:r>
    </w:p>
    <w:p w:rsidR="00EC7C50" w:rsidRPr="00BE5FFF" w:rsidRDefault="00EC7C50" w:rsidP="00AC1D1D">
      <w:pPr>
        <w:pStyle w:val="MPBrdtekst"/>
        <w:numPr>
          <w:ilvl w:val="0"/>
          <w:numId w:val="8"/>
        </w:numPr>
      </w:pPr>
      <w:r>
        <w:t>Udbudsstrategi</w:t>
      </w:r>
    </w:p>
    <w:p w:rsidR="00EC7C50" w:rsidRDefault="00EC7C50" w:rsidP="00AC1D1D">
      <w:pPr>
        <w:pStyle w:val="MPBrdtekst"/>
        <w:rPr>
          <w:b/>
        </w:rPr>
      </w:pPr>
    </w:p>
    <w:p w:rsidR="00EC7C50" w:rsidRPr="004A5E5F" w:rsidRDefault="00EC7C50" w:rsidP="007917C0">
      <w:pPr>
        <w:pStyle w:val="Heading1"/>
        <w:numPr>
          <w:ilvl w:val="0"/>
          <w:numId w:val="0"/>
        </w:numPr>
      </w:pPr>
      <w:bookmarkStart w:id="9" w:name="_Toc319999097"/>
      <w:r>
        <w:t>V</w:t>
      </w:r>
      <w:r w:rsidRPr="004A5E5F">
        <w:t>ejledning til afsnit 6 – Projektets tekniske løsning</w:t>
      </w:r>
      <w:bookmarkEnd w:id="9"/>
    </w:p>
    <w:p w:rsidR="00EC7C50" w:rsidRDefault="00EC7C50" w:rsidP="007917C0">
      <w:pPr>
        <w:pStyle w:val="MPBrdtekst"/>
      </w:pPr>
      <w:r>
        <w:t xml:space="preserve">Som hjælp til udfyldelse af afsnit 6 anbefales det at udforme nedenstående dokumenter til beskrivelse af den overordnede it-arkitektur. </w:t>
      </w:r>
    </w:p>
    <w:p w:rsidR="00EC7C50" w:rsidRDefault="00EC7C50" w:rsidP="007917C0">
      <w:pPr>
        <w:pStyle w:val="MPBrdtekst"/>
      </w:pPr>
    </w:p>
    <w:p w:rsidR="00EC7C50" w:rsidRDefault="00EC7C50" w:rsidP="007917C0">
      <w:pPr>
        <w:pStyle w:val="MPBrdtekst"/>
      </w:pPr>
      <w:r>
        <w:t xml:space="preserve">Det anbefales i den forbindelse at orientere sig i vejledninger, specifikationer og skabeloner fra OIO EA og ARchimate. OIO EA </w:t>
      </w:r>
      <w:r w:rsidRPr="007917C0">
        <w:t>er en dansk fællesoffentligt standard for proces og dokumentation af it-arkitekturen i relation til digitaliseringsprojekter</w:t>
      </w:r>
      <w:r>
        <w:t xml:space="preserve">, og </w:t>
      </w:r>
      <w:r w:rsidRPr="007917C0">
        <w:t xml:space="preserve">Archimate er en international åben standard i regi af Open Group og er relateret til TOGAF, The Open Group Enterprise Architecture Framework. </w:t>
      </w:r>
    </w:p>
    <w:p w:rsidR="00EC7C50" w:rsidRDefault="00EC7C50" w:rsidP="007917C0">
      <w:pPr>
        <w:pStyle w:val="MPBrdtekst"/>
      </w:pPr>
    </w:p>
    <w:p w:rsidR="00EC7C50" w:rsidRPr="007917C0" w:rsidRDefault="00EC7C50" w:rsidP="007917C0">
      <w:pPr>
        <w:pStyle w:val="MPBrdtekst"/>
      </w:pPr>
      <w:r w:rsidRPr="007917C0">
        <w:t xml:space="preserve">Dokumenterne kan udformes efter projektets egne behov, men det anbefales, at der tages udgangspunkt I skabelonerne fra Archimate, der har </w:t>
      </w:r>
      <w:r>
        <w:t xml:space="preserve">en veldefineret notation og </w:t>
      </w:r>
      <w:r w:rsidRPr="007917C0">
        <w:t>et fuldt sammenhængende univers af</w:t>
      </w:r>
      <w:r>
        <w:t xml:space="preserve"> diagrammer til at beskrive arkitekturen.</w:t>
      </w:r>
      <w:r w:rsidRPr="007917C0">
        <w:t>.</w:t>
      </w:r>
    </w:p>
    <w:p w:rsidR="00EC7C50" w:rsidRPr="007917C0" w:rsidRDefault="00EC7C50" w:rsidP="007917C0">
      <w:pPr>
        <w:pStyle w:val="MPBrdtekst"/>
      </w:pPr>
    </w:p>
    <w:p w:rsidR="00EC7C50" w:rsidRPr="006C6DC3" w:rsidRDefault="00EC7C50" w:rsidP="007917C0">
      <w:pPr>
        <w:pStyle w:val="MPBrdtekst"/>
        <w:numPr>
          <w:ilvl w:val="0"/>
          <w:numId w:val="30"/>
        </w:numPr>
        <w:rPr>
          <w:lang w:val="en-GB"/>
        </w:rPr>
      </w:pPr>
      <w:r w:rsidRPr="007917C0">
        <w:t>Beskrivelse af hvilke applikationer der bruger hvilke</w:t>
      </w:r>
      <w:r>
        <w:t xml:space="preserve"> forretnings</w:t>
      </w:r>
      <w:r w:rsidRPr="007917C0">
        <w:t>objekter</w:t>
      </w:r>
      <w:r>
        <w:t xml:space="preserve"> / data. </w:t>
      </w:r>
      <w:r w:rsidRPr="006C6DC3">
        <w:rPr>
          <w:lang w:val="en-GB"/>
        </w:rPr>
        <w:t>(Svarer til OIOEA: C2.2 Applikation-Information map / Archimate: Application Structure Viewpoint.</w:t>
      </w:r>
      <w:r>
        <w:rPr>
          <w:lang w:val="en-GB"/>
        </w:rPr>
        <w:t>)</w:t>
      </w:r>
    </w:p>
    <w:p w:rsidR="00EC7C50" w:rsidRPr="006C6DC3" w:rsidRDefault="00EC7C50" w:rsidP="007917C0">
      <w:pPr>
        <w:pStyle w:val="MPBrdtekst"/>
        <w:rPr>
          <w:lang w:val="en-GB"/>
        </w:rPr>
      </w:pPr>
    </w:p>
    <w:p w:rsidR="00EC7C50" w:rsidRPr="006C6DC3" w:rsidRDefault="00EC7C50" w:rsidP="007917C0">
      <w:pPr>
        <w:pStyle w:val="MPBrdtekst"/>
        <w:numPr>
          <w:ilvl w:val="0"/>
          <w:numId w:val="30"/>
        </w:numPr>
        <w:rPr>
          <w:lang w:val="en-GB"/>
        </w:rPr>
      </w:pPr>
      <w:r w:rsidRPr="007917C0">
        <w:t>Overblik over hvilke applikationer der understøtter hvilke forretningsprocesser</w:t>
      </w:r>
      <w:r>
        <w:t xml:space="preserve"> / handlinger</w:t>
      </w:r>
      <w:r w:rsidRPr="007917C0">
        <w:t xml:space="preserve">. </w:t>
      </w:r>
      <w:r>
        <w:br/>
      </w:r>
      <w:r w:rsidRPr="00EC7C50">
        <w:rPr>
          <w:rPrChange w:id="10" w:author="Anders Holmgren" w:date="2012-03-28T13:11:00Z">
            <w:rPr>
              <w:lang w:val="en-GB"/>
            </w:rPr>
          </w:rPrChange>
        </w:rPr>
        <w:t xml:space="preserve">(Svarer til OIOEA: C2.4 Applikation-Proces map./ </w:t>
      </w:r>
      <w:r w:rsidRPr="006C6DC3">
        <w:rPr>
          <w:lang w:val="en-GB"/>
        </w:rPr>
        <w:t>Archimate: Application Usage Viewpoint.</w:t>
      </w:r>
      <w:r>
        <w:rPr>
          <w:lang w:val="en-GB"/>
        </w:rPr>
        <w:t>)</w:t>
      </w:r>
    </w:p>
    <w:p w:rsidR="00EC7C50" w:rsidRPr="006C6DC3" w:rsidRDefault="00EC7C50" w:rsidP="007917C0">
      <w:pPr>
        <w:pStyle w:val="MPBrdtekst"/>
        <w:rPr>
          <w:lang w:val="en-GB"/>
        </w:rPr>
      </w:pPr>
    </w:p>
    <w:p w:rsidR="00EC7C50" w:rsidRPr="00853710" w:rsidRDefault="00EC7C50" w:rsidP="007917C0">
      <w:pPr>
        <w:pStyle w:val="MPBrdtekst"/>
        <w:numPr>
          <w:ilvl w:val="0"/>
          <w:numId w:val="30"/>
        </w:numPr>
        <w:rPr>
          <w:lang w:val="en-GB"/>
        </w:rPr>
      </w:pPr>
      <w:r w:rsidRPr="007917C0">
        <w:t>Beskrivelse af integrationer</w:t>
      </w:r>
      <w:r>
        <w:t xml:space="preserve"> mellem de centrale applikationer / komponenter (services)</w:t>
      </w:r>
      <w:r w:rsidRPr="007917C0">
        <w:t xml:space="preserve">, </w:t>
      </w:r>
      <w:r>
        <w:t xml:space="preserve">herunder særligt integrationer til andre interne og eksterne løsninger. </w:t>
      </w:r>
      <w:r w:rsidRPr="006C6DC3">
        <w:rPr>
          <w:lang w:val="en-GB"/>
        </w:rPr>
        <w:t>(</w:t>
      </w:r>
      <w:r>
        <w:rPr>
          <w:lang w:val="en-GB"/>
        </w:rPr>
        <w:t xml:space="preserve">Svarer til </w:t>
      </w:r>
      <w:r w:rsidRPr="00853710">
        <w:rPr>
          <w:lang w:val="en-GB"/>
        </w:rPr>
        <w:t>OIOEA</w:t>
      </w:r>
      <w:r>
        <w:rPr>
          <w:lang w:val="en-GB"/>
        </w:rPr>
        <w:t>:</w:t>
      </w:r>
      <w:r w:rsidRPr="00853710">
        <w:rPr>
          <w:lang w:val="en-GB"/>
        </w:rPr>
        <w:t xml:space="preserve"> C2.7 Applikations-Integrations views</w:t>
      </w:r>
      <w:r>
        <w:rPr>
          <w:lang w:val="en-GB"/>
        </w:rPr>
        <w:t xml:space="preserve">. </w:t>
      </w:r>
      <w:r w:rsidRPr="00853710">
        <w:rPr>
          <w:lang w:val="en-GB"/>
        </w:rPr>
        <w:t>Archimate</w:t>
      </w:r>
      <w:r>
        <w:rPr>
          <w:lang w:val="en-GB"/>
        </w:rPr>
        <w:t xml:space="preserve">: </w:t>
      </w:r>
      <w:r w:rsidRPr="00853710">
        <w:rPr>
          <w:lang w:val="en-GB"/>
        </w:rPr>
        <w:t>Application Co-operation Viewpoint</w:t>
      </w:r>
      <w:r>
        <w:rPr>
          <w:lang w:val="en-GB"/>
        </w:rPr>
        <w:t>.)</w:t>
      </w:r>
    </w:p>
    <w:p w:rsidR="00EC7C50" w:rsidRDefault="00EC7C50" w:rsidP="007917C0">
      <w:pPr>
        <w:pStyle w:val="MPBrdtekst"/>
        <w:rPr>
          <w:lang w:val="en-GB"/>
        </w:rPr>
      </w:pPr>
    </w:p>
    <w:p w:rsidR="00EC7C50" w:rsidRDefault="00EC7C50" w:rsidP="00815650">
      <w:pPr>
        <w:pStyle w:val="MPBrdtekst"/>
      </w:pPr>
      <w:r>
        <w:t>Links:</w:t>
      </w:r>
    </w:p>
    <w:p w:rsidR="00EC7C50" w:rsidRDefault="00EC7C50" w:rsidP="00815650">
      <w:pPr>
        <w:pStyle w:val="MPBrdtekst"/>
        <w:numPr>
          <w:ilvl w:val="1"/>
          <w:numId w:val="30"/>
        </w:numPr>
      </w:pPr>
      <w:r>
        <w:t xml:space="preserve">Du kan læse mere om OIOEA anbefalinger vedr. applikationsarkitektur her: </w:t>
      </w:r>
      <w:r>
        <w:fldChar w:fldCharType="begin"/>
      </w:r>
      <w:r>
        <w:instrText xml:space="preserve"> HYPERLINK "http://ea.oio.dk/arkitekturmetode/trin/teknik/c2-applikationsarkitektur" </w:instrText>
      </w:r>
      <w:r>
        <w:fldChar w:fldCharType="separate"/>
      </w:r>
      <w:r w:rsidRPr="00853710">
        <w:rPr>
          <w:rStyle w:val="Hyperlink"/>
        </w:rPr>
        <w:t>http://ea.oio.dk/arkitekturmetode/trin/teknik/c2-applikationsarkitektur</w:t>
      </w:r>
      <w:r>
        <w:fldChar w:fldCharType="end"/>
      </w:r>
    </w:p>
    <w:p w:rsidR="00EC7C50" w:rsidRDefault="00EC7C50" w:rsidP="00815650">
      <w:pPr>
        <w:pStyle w:val="MPBrdtekst"/>
        <w:numPr>
          <w:ilvl w:val="1"/>
          <w:numId w:val="30"/>
        </w:numPr>
      </w:pPr>
      <w:r>
        <w:t xml:space="preserve">Du finder definitioner, notationer ,m skabeloner og eksempler i Archimate/TOGAF her: </w:t>
      </w:r>
      <w:r>
        <w:fldChar w:fldCharType="begin"/>
      </w:r>
      <w:r>
        <w:instrText>HYPERLINK "http://www.opengroup.org/archimate/downloads.htm"</w:instrText>
      </w:r>
      <w:r>
        <w:fldChar w:fldCharType="separate"/>
      </w:r>
      <w:r w:rsidRPr="007917C0">
        <w:rPr>
          <w:rStyle w:val="Hyperlink"/>
          <w:color w:val="auto"/>
          <w:u w:val="none"/>
        </w:rPr>
        <w:t>http://www.opengroup.org/archimate/downloads.htm</w:t>
      </w:r>
      <w:r>
        <w:fldChar w:fldCharType="end"/>
      </w:r>
    </w:p>
    <w:p w:rsidR="00EC7C50" w:rsidRDefault="00EC7C50" w:rsidP="007917C0">
      <w:pPr>
        <w:pStyle w:val="MPBrdtekst"/>
      </w:pPr>
    </w:p>
    <w:p w:rsidR="00EC7C50" w:rsidRPr="004A5E5F" w:rsidRDefault="00EC7C50" w:rsidP="001B6B2D">
      <w:pPr>
        <w:pStyle w:val="Heading1"/>
        <w:numPr>
          <w:ilvl w:val="0"/>
          <w:numId w:val="0"/>
        </w:numPr>
      </w:pPr>
      <w:r>
        <w:t>V</w:t>
      </w:r>
      <w:r w:rsidRPr="004A5E5F">
        <w:t xml:space="preserve">ejledning til afsnit </w:t>
      </w:r>
      <w:r>
        <w:t>7</w:t>
      </w:r>
      <w:r w:rsidRPr="004A5E5F">
        <w:t xml:space="preserve"> – Projektets </w:t>
      </w:r>
      <w:r>
        <w:t>hovedleverancer</w:t>
      </w:r>
    </w:p>
    <w:p w:rsidR="00EC7C50" w:rsidRDefault="00EC7C50" w:rsidP="001B6B2D">
      <w:pPr>
        <w:pStyle w:val="MPBrdtekst"/>
      </w:pPr>
      <w:r>
        <w:t>I dette afsnit skal projektets hovedleverancer beskrive</w:t>
      </w:r>
      <w:r w:rsidRPr="001B6B2D">
        <w:t>s. Leverancerne kan være organisatoriske, tekniske, processuelle og er alle konkrete produkter som projektet har leveret ved afslutning af projektet. Det er ikke leverancerne i sig selv</w:t>
      </w:r>
      <w:r>
        <w:t>,</w:t>
      </w:r>
      <w:r w:rsidRPr="001B6B2D">
        <w:t xml:space="preserve"> der er interessante, men hvem der leverer dem (projektet selv eller fx andre institutioner), deres indbyrdes afhængigheder, deres kritikalitet for projektet mv.</w:t>
      </w:r>
      <w:r>
        <w:t xml:space="preserve"> </w:t>
      </w:r>
    </w:p>
    <w:p w:rsidR="00EC7C50" w:rsidRDefault="00EC7C50" w:rsidP="007917C0">
      <w:pPr>
        <w:pStyle w:val="MPBrdtekst"/>
      </w:pPr>
      <w:r>
        <w:t xml:space="preserve">Tabellen der skal udfyldes er en hjælp til at få listet leverancerne, så der skabes overblik. Såfremt et gant-diagram eller andet visuelt vil kunne levere de samme oplysninger, må dette meget gerne indsættes i PID’en. </w:t>
      </w:r>
    </w:p>
    <w:p w:rsidR="00EC7C50" w:rsidRPr="006C6DC3" w:rsidRDefault="00EC7C50" w:rsidP="007917C0">
      <w:pPr>
        <w:pStyle w:val="MPBrdtekst"/>
      </w:pPr>
    </w:p>
    <w:p w:rsidR="00EC7C50" w:rsidRPr="00AB1239" w:rsidRDefault="00EC7C50" w:rsidP="00881D06">
      <w:pPr>
        <w:pStyle w:val="Heading1"/>
        <w:numPr>
          <w:ilvl w:val="0"/>
          <w:numId w:val="0"/>
        </w:numPr>
      </w:pPr>
      <w:bookmarkStart w:id="11" w:name="_Toc319999098"/>
      <w:r w:rsidRPr="00AB1239">
        <w:t>Tips og gode ideer til arbejdet med Projektinitieringsdokumentet</w:t>
      </w:r>
      <w:bookmarkEnd w:id="11"/>
    </w:p>
    <w:p w:rsidR="00EC7C50" w:rsidRDefault="00EC7C50" w:rsidP="00AC1D1D">
      <w:pPr>
        <w:pStyle w:val="MPBrdtekst"/>
        <w:numPr>
          <w:ilvl w:val="0"/>
          <w:numId w:val="13"/>
        </w:numPr>
      </w:pPr>
      <w:r w:rsidRPr="00183961">
        <w:t>Formål kan of</w:t>
      </w:r>
      <w:r>
        <w:t>test genbruges fra projektoplæg</w:t>
      </w:r>
    </w:p>
    <w:p w:rsidR="00EC7C50" w:rsidRPr="00881D06" w:rsidRDefault="00EC7C50" w:rsidP="00AC1D1D">
      <w:pPr>
        <w:pStyle w:val="MPBrdtekst"/>
        <w:numPr>
          <w:ilvl w:val="0"/>
          <w:numId w:val="13"/>
        </w:numPr>
      </w:pPr>
      <w:r w:rsidRPr="00881D06">
        <w:t>Økonomioplysninger overføres fra business casen</w:t>
      </w:r>
    </w:p>
    <w:p w:rsidR="00EC7C50" w:rsidRPr="00BE5FFF" w:rsidRDefault="00EC7C50" w:rsidP="00AC1D1D">
      <w:pPr>
        <w:pStyle w:val="MPBrdtekst"/>
        <w:numPr>
          <w:ilvl w:val="0"/>
          <w:numId w:val="9"/>
        </w:numPr>
      </w:pPr>
      <w:r>
        <w:t>G</w:t>
      </w:r>
      <w:r w:rsidRPr="00BE5FFF">
        <w:t>evinsterne opgøres og beregnes i business casen</w:t>
      </w:r>
      <w:r>
        <w:t xml:space="preserve"> og overføres til PID fra gevinstrealiseringsplanen</w:t>
      </w:r>
      <w:r w:rsidRPr="00BE5FFF">
        <w:t>.</w:t>
      </w:r>
    </w:p>
    <w:p w:rsidR="00EC7C50" w:rsidRPr="00BE5FFF" w:rsidRDefault="00EC7C50" w:rsidP="00AC1D1D">
      <w:pPr>
        <w:pStyle w:val="MPBrdtekst"/>
        <w:numPr>
          <w:ilvl w:val="0"/>
          <w:numId w:val="9"/>
        </w:numPr>
      </w:pPr>
      <w:r w:rsidRPr="00BE5FFF">
        <w:t>Projektets afgrænsning vil oftest kunne genbruges fra projektoplægget, nu med mere præcise beskrivelser efter gennemførelse af analysefasen</w:t>
      </w:r>
    </w:p>
    <w:p w:rsidR="00EC7C50" w:rsidRPr="00BE5FFF" w:rsidRDefault="00EC7C50" w:rsidP="00AC1D1D">
      <w:pPr>
        <w:pStyle w:val="MPBrdtekst"/>
        <w:numPr>
          <w:ilvl w:val="0"/>
          <w:numId w:val="9"/>
        </w:numPr>
      </w:pPr>
      <w:r w:rsidRPr="00BE5FFF">
        <w:t>Husk at indarbejde håndteringen af risici, kvalitetssikring og interessenter i tids- og aktivitetsplanerne</w:t>
      </w:r>
    </w:p>
    <w:p w:rsidR="00EC7C50" w:rsidRDefault="00EC7C50" w:rsidP="00881D06">
      <w:pPr>
        <w:pStyle w:val="MPBrdtekst"/>
        <w:numPr>
          <w:ilvl w:val="0"/>
          <w:numId w:val="9"/>
        </w:numPr>
      </w:pPr>
      <w:r>
        <w:t xml:space="preserve">Uddybning af </w:t>
      </w:r>
      <w:r w:rsidRPr="006E6A51">
        <w:t xml:space="preserve">de </w:t>
      </w:r>
      <w:r>
        <w:t xml:space="preserve">5 </w:t>
      </w:r>
      <w:r w:rsidRPr="006E6A51">
        <w:t>overordnede principper for de statslige it-projekter</w:t>
      </w:r>
      <w:r>
        <w:t xml:space="preserve"> kan ses på </w:t>
      </w:r>
      <w:r>
        <w:fldChar w:fldCharType="begin"/>
      </w:r>
      <w:r>
        <w:instrText>HYPERLINK "http://www.statensitprojektraad.dk"</w:instrText>
      </w:r>
      <w:r>
        <w:fldChar w:fldCharType="separate"/>
      </w:r>
      <w:r w:rsidRPr="00675D68">
        <w:t>www.statensitprojektraad.dk</w:t>
      </w:r>
      <w:r>
        <w:fldChar w:fldCharType="end"/>
      </w:r>
    </w:p>
    <w:sectPr w:rsidR="00EC7C50" w:rsidSect="00CA089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50" w:rsidRDefault="00EC7C50" w:rsidP="00DC2180">
      <w:pPr>
        <w:spacing w:line="240" w:lineRule="auto"/>
      </w:pPr>
      <w:r>
        <w:separator/>
      </w:r>
    </w:p>
  </w:endnote>
  <w:endnote w:type="continuationSeparator" w:id="0">
    <w:p w:rsidR="00EC7C50" w:rsidRDefault="00EC7C50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50" w:rsidRDefault="00EC7C50" w:rsidP="00AA209C">
    <w:pPr>
      <w:pStyle w:val="Footer"/>
      <w:tabs>
        <w:tab w:val="left" w:pos="567"/>
        <w:tab w:val="left" w:pos="8789"/>
      </w:tabs>
      <w:rPr>
        <w:sz w:val="20"/>
        <w:szCs w:val="20"/>
      </w:rPr>
    </w:pPr>
    <w:r w:rsidRPr="00AA209C">
      <w:rPr>
        <w:sz w:val="20"/>
        <w:szCs w:val="20"/>
      </w:rPr>
      <w:tab/>
    </w:r>
  </w:p>
  <w:p w:rsidR="00EC7C50" w:rsidRPr="00AA209C" w:rsidRDefault="00EC7C50" w:rsidP="00AA209C">
    <w:pPr>
      <w:pStyle w:val="Footer"/>
      <w:tabs>
        <w:tab w:val="left" w:pos="567"/>
        <w:tab w:val="left" w:pos="9072"/>
      </w:tabs>
      <w:rPr>
        <w:sz w:val="20"/>
        <w:szCs w:val="20"/>
      </w:rPr>
    </w:pPr>
    <w:r>
      <w:rPr>
        <w:sz w:val="20"/>
        <w:szCs w:val="20"/>
      </w:rPr>
      <w:tab/>
    </w:r>
    <w:r w:rsidRPr="00AA209C">
      <w:rPr>
        <w:sz w:val="20"/>
        <w:szCs w:val="20"/>
      </w:rPr>
      <w:tab/>
    </w:r>
    <w:r>
      <w:rPr>
        <w:sz w:val="20"/>
        <w:szCs w:val="20"/>
      </w:rPr>
      <w:tab/>
      <w:t xml:space="preserve">Side </w:t>
    </w:r>
    <w:r w:rsidRPr="00AA209C">
      <w:rPr>
        <w:sz w:val="20"/>
        <w:szCs w:val="20"/>
      </w:rPr>
      <w:fldChar w:fldCharType="begin"/>
    </w:r>
    <w:r w:rsidRPr="00AA209C">
      <w:rPr>
        <w:sz w:val="20"/>
        <w:szCs w:val="20"/>
      </w:rPr>
      <w:instrText xml:space="preserve"> PAGE   \* MERGEFORMAT </w:instrText>
    </w:r>
    <w:r w:rsidRPr="00AA209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AA209C">
      <w:rPr>
        <w:sz w:val="20"/>
        <w:szCs w:val="20"/>
      </w:rPr>
      <w:fldChar w:fldCharType="end"/>
    </w:r>
  </w:p>
  <w:p w:rsidR="00EC7C50" w:rsidRDefault="00EC7C50" w:rsidP="004E24F5">
    <w:pPr>
      <w:pStyle w:val="Footer"/>
      <w:tabs>
        <w:tab w:val="clear" w:pos="4819"/>
        <w:tab w:val="cente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50" w:rsidRDefault="00EC7C50" w:rsidP="00DC2180">
      <w:pPr>
        <w:spacing w:line="240" w:lineRule="auto"/>
      </w:pPr>
      <w:r>
        <w:separator/>
      </w:r>
    </w:p>
  </w:footnote>
  <w:footnote w:type="continuationSeparator" w:id="0">
    <w:p w:rsidR="00EC7C50" w:rsidRDefault="00EC7C50" w:rsidP="00DC21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50" w:rsidRDefault="00EC7C50">
    <w:pPr>
      <w:pStyle w:val="Header"/>
      <w:jc w:val="right"/>
    </w:pPr>
  </w:p>
  <w:p w:rsidR="00EC7C50" w:rsidRDefault="00EC7C50" w:rsidP="004E24F5">
    <w:pPr>
      <w:pStyle w:val="Header"/>
      <w:tabs>
        <w:tab w:val="clear" w:pos="4819"/>
        <w:tab w:val="clear" w:pos="9638"/>
        <w:tab w:val="left" w:pos="165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EE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F4F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E67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745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3E3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80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0D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163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62A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289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06614"/>
    <w:multiLevelType w:val="hybridMultilevel"/>
    <w:tmpl w:val="38CC4A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C5C2F"/>
    <w:multiLevelType w:val="hybridMultilevel"/>
    <w:tmpl w:val="9432B0F2"/>
    <w:lvl w:ilvl="0" w:tplc="28A833B2">
      <w:start w:val="14"/>
      <w:numFmt w:val="bullet"/>
      <w:lvlText w:val="*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F1F6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BC583D"/>
    <w:multiLevelType w:val="hybridMultilevel"/>
    <w:tmpl w:val="AE1266AA"/>
    <w:lvl w:ilvl="0" w:tplc="C3981444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DFDC75E2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F19C790E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73E2374E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21D8BA3E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5342679C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2ECA60C2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7E10B3C6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56C68302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7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8">
    <w:nsid w:val="2E6A456B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9C2887"/>
    <w:multiLevelType w:val="hybridMultilevel"/>
    <w:tmpl w:val="F580F73C"/>
    <w:lvl w:ilvl="0" w:tplc="60E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8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E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40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E1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46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8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83694"/>
    <w:multiLevelType w:val="hybridMultilevel"/>
    <w:tmpl w:val="30E08864"/>
    <w:lvl w:ilvl="0" w:tplc="0406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F56673"/>
    <w:multiLevelType w:val="hybridMultilevel"/>
    <w:tmpl w:val="B9547796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6294C"/>
    <w:multiLevelType w:val="hybridMultilevel"/>
    <w:tmpl w:val="10CCC5DE"/>
    <w:lvl w:ilvl="0" w:tplc="0406000F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85221"/>
    <w:multiLevelType w:val="hybridMultilevel"/>
    <w:tmpl w:val="2390D4AA"/>
    <w:lvl w:ilvl="0" w:tplc="DF22D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64B0D"/>
    <w:multiLevelType w:val="hybridMultilevel"/>
    <w:tmpl w:val="505681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510971"/>
    <w:multiLevelType w:val="multilevel"/>
    <w:tmpl w:val="0F54599A"/>
    <w:lvl w:ilvl="0">
      <w:start w:val="1"/>
      <w:numFmt w:val="decimal"/>
      <w:pStyle w:val="DokTite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CC7550A"/>
    <w:multiLevelType w:val="multilevel"/>
    <w:tmpl w:val="9A6A5346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15"/>
  </w:num>
  <w:num w:numId="6">
    <w:abstractNumId w:val="16"/>
  </w:num>
  <w:num w:numId="7">
    <w:abstractNumId w:val="20"/>
  </w:num>
  <w:num w:numId="8">
    <w:abstractNumId w:val="25"/>
  </w:num>
  <w:num w:numId="9">
    <w:abstractNumId w:val="26"/>
  </w:num>
  <w:num w:numId="10">
    <w:abstractNumId w:val="12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8"/>
  </w:num>
  <w:num w:numId="15">
    <w:abstractNumId w:val="18"/>
  </w:num>
  <w:num w:numId="16">
    <w:abstractNumId w:val="14"/>
  </w:num>
  <w:num w:numId="17">
    <w:abstractNumId w:val="22"/>
  </w:num>
  <w:num w:numId="18">
    <w:abstractNumId w:val="1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80"/>
    <w:rsid w:val="0000282F"/>
    <w:rsid w:val="00014AFF"/>
    <w:rsid w:val="00020582"/>
    <w:rsid w:val="000321E1"/>
    <w:rsid w:val="00035453"/>
    <w:rsid w:val="000355BC"/>
    <w:rsid w:val="000515AC"/>
    <w:rsid w:val="00064E6E"/>
    <w:rsid w:val="00083621"/>
    <w:rsid w:val="000D4B0F"/>
    <w:rsid w:val="00101163"/>
    <w:rsid w:val="0011515A"/>
    <w:rsid w:val="0012147C"/>
    <w:rsid w:val="00124E96"/>
    <w:rsid w:val="00137F42"/>
    <w:rsid w:val="00142185"/>
    <w:rsid w:val="001831DE"/>
    <w:rsid w:val="00183961"/>
    <w:rsid w:val="00185BED"/>
    <w:rsid w:val="0018641A"/>
    <w:rsid w:val="00194B61"/>
    <w:rsid w:val="001958D2"/>
    <w:rsid w:val="00197A20"/>
    <w:rsid w:val="001A1F52"/>
    <w:rsid w:val="001B1033"/>
    <w:rsid w:val="001B2577"/>
    <w:rsid w:val="001B344A"/>
    <w:rsid w:val="001B6B2D"/>
    <w:rsid w:val="00201141"/>
    <w:rsid w:val="00210000"/>
    <w:rsid w:val="002239DA"/>
    <w:rsid w:val="002250C6"/>
    <w:rsid w:val="00254E0C"/>
    <w:rsid w:val="00256FB3"/>
    <w:rsid w:val="0028168B"/>
    <w:rsid w:val="00294A46"/>
    <w:rsid w:val="002A2410"/>
    <w:rsid w:val="002B11EF"/>
    <w:rsid w:val="002B4888"/>
    <w:rsid w:val="002C1F70"/>
    <w:rsid w:val="002D1B29"/>
    <w:rsid w:val="002D32EF"/>
    <w:rsid w:val="002D3BC5"/>
    <w:rsid w:val="002F038D"/>
    <w:rsid w:val="0031059F"/>
    <w:rsid w:val="003354E3"/>
    <w:rsid w:val="0034055F"/>
    <w:rsid w:val="00351D14"/>
    <w:rsid w:val="00357E24"/>
    <w:rsid w:val="0036136D"/>
    <w:rsid w:val="003716BF"/>
    <w:rsid w:val="00375753"/>
    <w:rsid w:val="00377560"/>
    <w:rsid w:val="00386C3A"/>
    <w:rsid w:val="00392336"/>
    <w:rsid w:val="003B557C"/>
    <w:rsid w:val="003C0AA2"/>
    <w:rsid w:val="003C4C0B"/>
    <w:rsid w:val="003E4AFD"/>
    <w:rsid w:val="003F5B25"/>
    <w:rsid w:val="00412A89"/>
    <w:rsid w:val="00424CAC"/>
    <w:rsid w:val="0043771B"/>
    <w:rsid w:val="00447F44"/>
    <w:rsid w:val="004633D3"/>
    <w:rsid w:val="00473C37"/>
    <w:rsid w:val="0047555D"/>
    <w:rsid w:val="00483E50"/>
    <w:rsid w:val="00483FAC"/>
    <w:rsid w:val="00487F9F"/>
    <w:rsid w:val="004A5E5F"/>
    <w:rsid w:val="004C428E"/>
    <w:rsid w:val="004C68BC"/>
    <w:rsid w:val="004C7361"/>
    <w:rsid w:val="004D1C73"/>
    <w:rsid w:val="004E24F5"/>
    <w:rsid w:val="004E42C7"/>
    <w:rsid w:val="004E725C"/>
    <w:rsid w:val="004F1767"/>
    <w:rsid w:val="004F440E"/>
    <w:rsid w:val="00501C91"/>
    <w:rsid w:val="0051135E"/>
    <w:rsid w:val="0051733E"/>
    <w:rsid w:val="005179E5"/>
    <w:rsid w:val="00545A86"/>
    <w:rsid w:val="005468B0"/>
    <w:rsid w:val="00554943"/>
    <w:rsid w:val="0055761B"/>
    <w:rsid w:val="005625CD"/>
    <w:rsid w:val="005714F3"/>
    <w:rsid w:val="00572D85"/>
    <w:rsid w:val="00572EDD"/>
    <w:rsid w:val="00584C2B"/>
    <w:rsid w:val="00591B77"/>
    <w:rsid w:val="005C29B1"/>
    <w:rsid w:val="005C6603"/>
    <w:rsid w:val="005E51F4"/>
    <w:rsid w:val="005E7F5E"/>
    <w:rsid w:val="006109A9"/>
    <w:rsid w:val="00616BFF"/>
    <w:rsid w:val="006200DD"/>
    <w:rsid w:val="00623CC6"/>
    <w:rsid w:val="00642D7D"/>
    <w:rsid w:val="00645B82"/>
    <w:rsid w:val="0067027C"/>
    <w:rsid w:val="00671573"/>
    <w:rsid w:val="00675D68"/>
    <w:rsid w:val="00681BF3"/>
    <w:rsid w:val="00683B98"/>
    <w:rsid w:val="006950F9"/>
    <w:rsid w:val="006A309A"/>
    <w:rsid w:val="006B6B30"/>
    <w:rsid w:val="006C247D"/>
    <w:rsid w:val="006C370D"/>
    <w:rsid w:val="006C6DC3"/>
    <w:rsid w:val="006D0466"/>
    <w:rsid w:val="006D25E6"/>
    <w:rsid w:val="006E03CD"/>
    <w:rsid w:val="006E6A51"/>
    <w:rsid w:val="006E7067"/>
    <w:rsid w:val="00710BD2"/>
    <w:rsid w:val="00723ABC"/>
    <w:rsid w:val="0072426B"/>
    <w:rsid w:val="00726AA5"/>
    <w:rsid w:val="00735C31"/>
    <w:rsid w:val="00735C57"/>
    <w:rsid w:val="0074661E"/>
    <w:rsid w:val="00771F79"/>
    <w:rsid w:val="0078228B"/>
    <w:rsid w:val="007917C0"/>
    <w:rsid w:val="007A2EA8"/>
    <w:rsid w:val="007C4940"/>
    <w:rsid w:val="007D167D"/>
    <w:rsid w:val="007D2A37"/>
    <w:rsid w:val="007D2BCD"/>
    <w:rsid w:val="007D43CA"/>
    <w:rsid w:val="007D5425"/>
    <w:rsid w:val="007F5764"/>
    <w:rsid w:val="007F6EC8"/>
    <w:rsid w:val="00810921"/>
    <w:rsid w:val="00815650"/>
    <w:rsid w:val="0082602D"/>
    <w:rsid w:val="00835C77"/>
    <w:rsid w:val="008520B8"/>
    <w:rsid w:val="00853710"/>
    <w:rsid w:val="00865430"/>
    <w:rsid w:val="008730FD"/>
    <w:rsid w:val="00873F60"/>
    <w:rsid w:val="00881D06"/>
    <w:rsid w:val="00893955"/>
    <w:rsid w:val="008A46AF"/>
    <w:rsid w:val="008B18FC"/>
    <w:rsid w:val="008B34FA"/>
    <w:rsid w:val="008B4EA0"/>
    <w:rsid w:val="008B61B0"/>
    <w:rsid w:val="008C4229"/>
    <w:rsid w:val="008F7D93"/>
    <w:rsid w:val="00921FCD"/>
    <w:rsid w:val="00956254"/>
    <w:rsid w:val="00966FAB"/>
    <w:rsid w:val="009715F6"/>
    <w:rsid w:val="009A0AEE"/>
    <w:rsid w:val="009A76E7"/>
    <w:rsid w:val="009C5D6A"/>
    <w:rsid w:val="009C62BB"/>
    <w:rsid w:val="009D3CD2"/>
    <w:rsid w:val="009E45FB"/>
    <w:rsid w:val="00A10637"/>
    <w:rsid w:val="00A34A60"/>
    <w:rsid w:val="00A465BD"/>
    <w:rsid w:val="00A502C8"/>
    <w:rsid w:val="00A5333B"/>
    <w:rsid w:val="00A603B6"/>
    <w:rsid w:val="00A63730"/>
    <w:rsid w:val="00A72CE3"/>
    <w:rsid w:val="00A83DA3"/>
    <w:rsid w:val="00AA209C"/>
    <w:rsid w:val="00AA6ED0"/>
    <w:rsid w:val="00AB1239"/>
    <w:rsid w:val="00AB1753"/>
    <w:rsid w:val="00AB618E"/>
    <w:rsid w:val="00AC1D1D"/>
    <w:rsid w:val="00AC63C9"/>
    <w:rsid w:val="00AE1A39"/>
    <w:rsid w:val="00AE48D1"/>
    <w:rsid w:val="00AE4F9F"/>
    <w:rsid w:val="00AF089D"/>
    <w:rsid w:val="00B06022"/>
    <w:rsid w:val="00B064F9"/>
    <w:rsid w:val="00B1079A"/>
    <w:rsid w:val="00B14314"/>
    <w:rsid w:val="00B202B2"/>
    <w:rsid w:val="00B219C7"/>
    <w:rsid w:val="00B22718"/>
    <w:rsid w:val="00B23A52"/>
    <w:rsid w:val="00B42D39"/>
    <w:rsid w:val="00B54AAC"/>
    <w:rsid w:val="00B6149C"/>
    <w:rsid w:val="00B65AE3"/>
    <w:rsid w:val="00B66140"/>
    <w:rsid w:val="00B83816"/>
    <w:rsid w:val="00B97EE3"/>
    <w:rsid w:val="00BB1144"/>
    <w:rsid w:val="00BB130C"/>
    <w:rsid w:val="00BC029B"/>
    <w:rsid w:val="00BE5FFF"/>
    <w:rsid w:val="00BF3F85"/>
    <w:rsid w:val="00C077EC"/>
    <w:rsid w:val="00C10D2B"/>
    <w:rsid w:val="00C1276D"/>
    <w:rsid w:val="00C257A2"/>
    <w:rsid w:val="00C30644"/>
    <w:rsid w:val="00C30CBF"/>
    <w:rsid w:val="00C32B89"/>
    <w:rsid w:val="00C53AD4"/>
    <w:rsid w:val="00C65455"/>
    <w:rsid w:val="00C70613"/>
    <w:rsid w:val="00C7100A"/>
    <w:rsid w:val="00C92C6C"/>
    <w:rsid w:val="00CA089E"/>
    <w:rsid w:val="00CB22E9"/>
    <w:rsid w:val="00CD4CD2"/>
    <w:rsid w:val="00CD6885"/>
    <w:rsid w:val="00CE330E"/>
    <w:rsid w:val="00D01695"/>
    <w:rsid w:val="00D22755"/>
    <w:rsid w:val="00D35BC1"/>
    <w:rsid w:val="00D42688"/>
    <w:rsid w:val="00D55C0F"/>
    <w:rsid w:val="00D936CF"/>
    <w:rsid w:val="00DA3135"/>
    <w:rsid w:val="00DA3839"/>
    <w:rsid w:val="00DA667A"/>
    <w:rsid w:val="00DB336C"/>
    <w:rsid w:val="00DC2180"/>
    <w:rsid w:val="00DE35D9"/>
    <w:rsid w:val="00E02924"/>
    <w:rsid w:val="00E03CA5"/>
    <w:rsid w:val="00E0748A"/>
    <w:rsid w:val="00E242FB"/>
    <w:rsid w:val="00E246F5"/>
    <w:rsid w:val="00E31DFE"/>
    <w:rsid w:val="00E45BF0"/>
    <w:rsid w:val="00E60426"/>
    <w:rsid w:val="00E6082B"/>
    <w:rsid w:val="00E708E3"/>
    <w:rsid w:val="00E71A30"/>
    <w:rsid w:val="00E71D92"/>
    <w:rsid w:val="00E7304C"/>
    <w:rsid w:val="00E76F82"/>
    <w:rsid w:val="00E837C3"/>
    <w:rsid w:val="00EA36B1"/>
    <w:rsid w:val="00EB2ECF"/>
    <w:rsid w:val="00EC124F"/>
    <w:rsid w:val="00EC3555"/>
    <w:rsid w:val="00EC7C50"/>
    <w:rsid w:val="00EF6513"/>
    <w:rsid w:val="00F03922"/>
    <w:rsid w:val="00F05DEE"/>
    <w:rsid w:val="00F169EE"/>
    <w:rsid w:val="00F224EB"/>
    <w:rsid w:val="00F32ACD"/>
    <w:rsid w:val="00F36888"/>
    <w:rsid w:val="00F70D58"/>
    <w:rsid w:val="00F81610"/>
    <w:rsid w:val="00F81D8B"/>
    <w:rsid w:val="00F843D3"/>
    <w:rsid w:val="00FB04F1"/>
    <w:rsid w:val="00FC0845"/>
    <w:rsid w:val="00FE541A"/>
    <w:rsid w:val="00FF2AEB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D1D"/>
    <w:rPr>
      <w:rFonts w:ascii="Arial" w:hAnsi="Arial" w:cs="Arial"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D1D"/>
    <w:rPr>
      <w:rFonts w:ascii="Arial" w:hAnsi="Arial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D1D"/>
    <w:rPr>
      <w:rFonts w:ascii="Garamond" w:hAnsi="Garamond" w:cs="Arial"/>
      <w:bCs/>
      <w:i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1D1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1D1D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1D1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1D1D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1D1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1D1D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1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1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DefaultParagraphFon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DefaultParagraphFon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DC2180"/>
    <w:pPr>
      <w:spacing w:after="100"/>
    </w:pPr>
  </w:style>
  <w:style w:type="character" w:styleId="Hyperlink">
    <w:name w:val="Hyperlink"/>
    <w:basedOn w:val="DefaultParagraphFon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DC2180"/>
    <w:rPr>
      <w:rFonts w:ascii="Garamond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TOC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aliases w:val="MP Tabel Oppsetning1"/>
    <w:basedOn w:val="TableNormal"/>
    <w:uiPriority w:val="99"/>
    <w:rsid w:val="00AC1D1D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DefaultParagraphFont"/>
    <w:link w:val="Punktopstilling"/>
    <w:uiPriority w:val="99"/>
    <w:locked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D1D"/>
    <w:rPr>
      <w:rFonts w:ascii="Arial" w:hAnsi="Arial" w:cs="Times New Roman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Heading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Heading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Heading2Char"/>
    <w:link w:val="Typografi1"/>
    <w:uiPriority w:val="99"/>
    <w:locked/>
    <w:rsid w:val="00AC1D1D"/>
    <w:rPr>
      <w:rFonts w:ascii="Garamond" w:eastAsia="Arial Unicode MS" w:hAnsi="Garamond" w:cs="Arial Unicode MS"/>
      <w:color w:val="000000"/>
      <w:spacing w:val="4"/>
      <w:sz w:val="24"/>
      <w:szCs w:val="24"/>
      <w:lang w:eastAsia="da-DK"/>
    </w:rPr>
  </w:style>
  <w:style w:type="character" w:customStyle="1" w:styleId="Typografi2Tegn">
    <w:name w:val="Typografi2 Tegn"/>
    <w:basedOn w:val="Heading2Char"/>
    <w:link w:val="Typografi2"/>
    <w:uiPriority w:val="99"/>
    <w:locked/>
    <w:rsid w:val="00AC1D1D"/>
    <w:rPr>
      <w:rFonts w:ascii="Garamond" w:eastAsia="Arial Unicode MS" w:hAnsi="Garamond" w:cs="Arial Unicode MS"/>
      <w:color w:val="000000"/>
      <w:spacing w:val="4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rsid w:val="00AC1D1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D1D"/>
    <w:rPr>
      <w:rFonts w:ascii="Garamond" w:eastAsia="Arial Unicode MS" w:hAnsi="Garamond" w:cs="Arial Unicode MS"/>
      <w:b/>
      <w:bCs/>
      <w:spacing w:val="4"/>
    </w:rPr>
  </w:style>
  <w:style w:type="paragraph" w:styleId="Title">
    <w:name w:val="Title"/>
    <w:basedOn w:val="Normal"/>
    <w:next w:val="Normal"/>
    <w:link w:val="TitleChar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leChar">
    <w:name w:val="Title Char"/>
    <w:basedOn w:val="DefaultParagraphFont"/>
    <w:link w:val="Title"/>
    <w:uiPriority w:val="99"/>
    <w:locked/>
    <w:rsid w:val="00AC1D1D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D1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basedOn w:val="DefaultParagraphFon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ightList-Accent5">
    <w:name w:val="Light List Accent 5"/>
    <w:basedOn w:val="Table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vision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Heading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ong">
    <w:name w:val="Strong"/>
    <w:basedOn w:val="DefaultParagraphFont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basedOn w:val="DefaultParagraphFont"/>
    <w:link w:val="NormalArial"/>
    <w:uiPriority w:val="99"/>
    <w:locked/>
    <w:rsid w:val="00AC1D1D"/>
    <w:rPr>
      <w:rFonts w:ascii="Verdana" w:hAnsi="Verdana" w:cs="Times New Roman"/>
      <w:bCs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4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</w:rPr>
  </w:style>
  <w:style w:type="numbering" w:customStyle="1" w:styleId="TypografiPunkttegnFlereniveauer">
    <w:name w:val="Typografi Punkttegn + Flere niveauer"/>
    <w:rsid w:val="002D06B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1082</Words>
  <Characters>6606</Characters>
  <Application>Microsoft Office Outlook</Application>
  <DocSecurity>0</DocSecurity>
  <Lines>0</Lines>
  <Paragraphs>0</Paragraphs>
  <ScaleCrop>false</ScaleCrop>
  <Company>Statens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subject/>
  <dc:creator>Ministeriernes Projektkontor</dc:creator>
  <cp:keywords/>
  <dc:description/>
  <cp:lastModifiedBy>Anders Holmgren</cp:lastModifiedBy>
  <cp:revision>6</cp:revision>
  <cp:lastPrinted>2011-08-25T11:13:00Z</cp:lastPrinted>
  <dcterms:created xsi:type="dcterms:W3CDTF">2012-03-28T08:45:00Z</dcterms:created>
  <dcterms:modified xsi:type="dcterms:W3CDTF">2012-03-28T11:30:00Z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1.3</vt:lpwstr>
  </property>
</Properties>
</file>