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bookmarkStart w:id="0" w:name="_GoBack"/>
            <w:bookmarkEnd w:id="0"/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A2775E" w:rsidP="00FF27C2">
            <w:pPr>
              <w:pStyle w:val="Template-INI"/>
              <w:ind w:right="-169"/>
              <w:rPr>
                <w:lang w:val="da-DK"/>
              </w:rPr>
            </w:pPr>
            <w:r>
              <w:rPr>
                <w:lang w:val="da-DK"/>
              </w:rPr>
              <w:t xml:space="preserve">Den </w:t>
            </w:r>
            <w:r w:rsidR="009D004B">
              <w:rPr>
                <w:lang w:val="da-DK"/>
              </w:rPr>
              <w:t>6</w:t>
            </w:r>
            <w:r w:rsidR="00125EF6" w:rsidRPr="0015280F">
              <w:rPr>
                <w:lang w:val="da-DK"/>
              </w:rPr>
              <w:t xml:space="preserve">. </w:t>
            </w:r>
            <w:r w:rsidR="00D263C5">
              <w:rPr>
                <w:lang w:val="da-DK"/>
              </w:rPr>
              <w:t>marts</w:t>
            </w:r>
            <w:r w:rsidR="00125EF6" w:rsidRPr="0015280F">
              <w:rPr>
                <w:lang w:val="da-DK"/>
              </w:rPr>
              <w:t xml:space="preserve"> </w:t>
            </w:r>
            <w:r w:rsidR="00FF27C2">
              <w:rPr>
                <w:lang w:val="da-DK"/>
              </w:rPr>
              <w:t>2</w:t>
            </w:r>
            <w:r w:rsidR="00125EF6" w:rsidRPr="0015280F">
              <w:rPr>
                <w:lang w:val="da-DK"/>
              </w:rPr>
              <w:t>01</w:t>
            </w:r>
            <w:r>
              <w:rPr>
                <w:lang w:val="da-DK"/>
              </w:rPr>
              <w:t>6</w:t>
            </w:r>
            <w:r w:rsidR="00125EF6" w:rsidRPr="0015280F">
              <w:rPr>
                <w:lang w:val="da-DK"/>
              </w:rPr>
              <w:t>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5328DB" w:rsidRPr="00073AC1" w:rsidRDefault="005328DB" w:rsidP="005328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3AC1">
        <w:rPr>
          <w:rFonts w:ascii="Arial" w:hAnsi="Arial" w:cs="Arial"/>
        </w:rPr>
        <w:t xml:space="preserve">Statusrapportering for projekterne i </w:t>
      </w:r>
      <w:r w:rsidR="00C3347E">
        <w:rPr>
          <w:rFonts w:ascii="Arial" w:hAnsi="Arial" w:cs="Arial"/>
        </w:rPr>
        <w:t>Adresseprogrammet</w:t>
      </w:r>
      <w:r w:rsidRPr="00073AC1">
        <w:rPr>
          <w:rFonts w:ascii="Arial" w:hAnsi="Arial" w:cs="Arial"/>
        </w:rPr>
        <w:t xml:space="preserve"> GD</w:t>
      </w:r>
      <w:r w:rsidR="00C3347E">
        <w:rPr>
          <w:rFonts w:ascii="Arial" w:hAnsi="Arial" w:cs="Arial"/>
        </w:rPr>
        <w:t>2</w:t>
      </w:r>
    </w:p>
    <w:p w:rsidR="0015280F" w:rsidRDefault="00620E25" w:rsidP="00BA2685">
      <w:pPr>
        <w:pStyle w:val="Overskrift2"/>
        <w:jc w:val="both"/>
      </w:pPr>
      <w:r>
        <w:t>Problem</w:t>
      </w:r>
    </w:p>
    <w:p w:rsidR="003D732E" w:rsidRDefault="003D732E" w:rsidP="003D7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Garamond"/>
        </w:rPr>
        <w:t>Projekterne statusrapporterer forud for hvert møde i styregruppen. Der statusrapporteres for afsluttede og kommende produkter og milepæle samt kritiske risici og emner. Styregruppen skal forholde sig til programmets og projekternes status.</w:t>
      </w:r>
    </w:p>
    <w:p w:rsidR="0015280F" w:rsidRDefault="00620E25" w:rsidP="00BA2685">
      <w:pPr>
        <w:pStyle w:val="Overskrift2"/>
        <w:jc w:val="both"/>
      </w:pPr>
      <w:r>
        <w:t>Baggrund</w:t>
      </w:r>
    </w:p>
    <w:p w:rsidR="003D732E" w:rsidRDefault="003D732E" w:rsidP="003D73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>Den samlede status i dette cover baserer sig på statusrapporter fra projektern</w:t>
      </w:r>
      <w:r w:rsidR="008B018D">
        <w:rPr>
          <w:rFonts w:cs="Garamond"/>
        </w:rPr>
        <w:t>e for perioden 9. januar 2016 – 22. februar</w:t>
      </w:r>
      <w:r>
        <w:rPr>
          <w:rFonts w:cs="Garamond"/>
        </w:rPr>
        <w:t xml:space="preserve"> 2016. Rapporteringen foregår på baggrund af projekternes arbejdspakker i GD2s implementeringsplan. </w:t>
      </w:r>
    </w:p>
    <w:p w:rsidR="00FA05CB" w:rsidRDefault="00FA05CB" w:rsidP="00241AB5">
      <w:pPr>
        <w:pStyle w:val="Overskrift2"/>
        <w:rPr>
          <w:rFonts w:cs="Garamond"/>
        </w:rPr>
      </w:pPr>
      <w:r>
        <w:t>Status</w:t>
      </w:r>
      <w:r>
        <w:rPr>
          <w:rFonts w:cs="Garamond"/>
        </w:rPr>
        <w:t xml:space="preserve"> </w:t>
      </w:r>
    </w:p>
    <w:p w:rsidR="00B26022" w:rsidRDefault="00241AB5" w:rsidP="00FA05C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På </w:t>
      </w:r>
      <w:r w:rsidR="00FA05CB">
        <w:rPr>
          <w:rFonts w:cs="Garamond"/>
        </w:rPr>
        <w:t xml:space="preserve">baggrund af projekternes statusrapportering er </w:t>
      </w:r>
      <w:r w:rsidR="00774776">
        <w:rPr>
          <w:rFonts w:cs="Garamond"/>
        </w:rPr>
        <w:t xml:space="preserve">det samlede billede for status på delprogrammet uændret i forhold til sidste statusrapportering. </w:t>
      </w:r>
      <w:r w:rsidR="00EC3353">
        <w:rPr>
          <w:rFonts w:cs="Garamond"/>
        </w:rPr>
        <w:t xml:space="preserve">Status er </w:t>
      </w:r>
      <w:r w:rsidR="00774776">
        <w:rPr>
          <w:rFonts w:cs="Garamond"/>
        </w:rPr>
        <w:t xml:space="preserve">samlet set i GUL. </w:t>
      </w:r>
      <w:r w:rsidR="00EC3353">
        <w:rPr>
          <w:rFonts w:cs="Garamond"/>
        </w:rPr>
        <w:t>Der er sket forbedringer for CVR og Testpr</w:t>
      </w:r>
      <w:r w:rsidR="00FF27C2">
        <w:rPr>
          <w:rFonts w:cs="Garamond"/>
        </w:rPr>
        <w:t>ojektet, der begge er gået fra g</w:t>
      </w:r>
      <w:r w:rsidR="00EC3353">
        <w:rPr>
          <w:rFonts w:cs="Garamond"/>
        </w:rPr>
        <w:t>ul til grøn i samlet status. CVRs status er ændret som følge af, at SKATs løsn</w:t>
      </w:r>
      <w:r w:rsidR="008B2E8C">
        <w:rPr>
          <w:rFonts w:cs="Garamond"/>
        </w:rPr>
        <w:t>ingsdesign er godkendt, og Testprojektets</w:t>
      </w:r>
      <w:r w:rsidR="00EC3353">
        <w:rPr>
          <w:rFonts w:cs="Garamond"/>
        </w:rPr>
        <w:t xml:space="preserve"> status er ændret som følge af tilførsel af ressourcer. </w:t>
      </w:r>
      <w:r w:rsidR="00774776">
        <w:rPr>
          <w:rFonts w:cs="Garamond"/>
        </w:rPr>
        <w:t xml:space="preserve">Lovprojektet er gået </w:t>
      </w:r>
      <w:r w:rsidR="00B26022">
        <w:rPr>
          <w:rFonts w:cs="Garamond"/>
        </w:rPr>
        <w:t>fra grøn til gul på ressourcer som følge af Morten Linds opsigelse.</w:t>
      </w:r>
    </w:p>
    <w:p w:rsidR="00774776" w:rsidRDefault="00774776" w:rsidP="00FA05C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 </w:t>
      </w:r>
    </w:p>
    <w:p w:rsidR="002D0714" w:rsidRDefault="00774776" w:rsidP="00FA05CB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>
        <w:rPr>
          <w:rFonts w:cs="Garamond"/>
        </w:rPr>
        <w:t xml:space="preserve">SKAT har ikke leveret statusrapport for perioden, og der er derfor ikke angivet farver ud for projektet i nedenstående </w:t>
      </w:r>
      <w:r w:rsidR="00B26022">
        <w:rPr>
          <w:rFonts w:cs="Garamond"/>
        </w:rPr>
        <w:t>status</w:t>
      </w:r>
      <w:r w:rsidR="00D263C5">
        <w:rPr>
          <w:rFonts w:cs="Garamond"/>
        </w:rPr>
        <w:t>overblik.</w:t>
      </w:r>
    </w:p>
    <w:p w:rsidR="00B24C7C" w:rsidRDefault="00B24C7C">
      <w:pPr>
        <w:rPr>
          <w:rFonts w:cs="Garamond"/>
        </w:rPr>
      </w:pPr>
    </w:p>
    <w:tbl>
      <w:tblPr>
        <w:tblStyle w:val="Tabel-Gitter"/>
        <w:tblW w:w="9075" w:type="dxa"/>
        <w:tblLayout w:type="fixed"/>
        <w:tblLook w:val="04A0" w:firstRow="1" w:lastRow="0" w:firstColumn="1" w:lastColumn="0" w:noHBand="0" w:noVBand="1"/>
      </w:tblPr>
      <w:tblGrid>
        <w:gridCol w:w="2390"/>
        <w:gridCol w:w="842"/>
        <w:gridCol w:w="718"/>
        <w:gridCol w:w="779"/>
        <w:gridCol w:w="718"/>
        <w:gridCol w:w="569"/>
        <w:gridCol w:w="842"/>
        <w:gridCol w:w="719"/>
        <w:gridCol w:w="779"/>
        <w:gridCol w:w="719"/>
      </w:tblGrid>
      <w:tr w:rsidR="00B24C7C" w:rsidRPr="00620244" w:rsidTr="00620244">
        <w:tc>
          <w:tcPr>
            <w:tcW w:w="2381" w:type="dxa"/>
            <w:vMerge w:val="restart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3045" w:type="dxa"/>
            <w:gridSpan w:val="4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b/>
                <w:sz w:val="20"/>
                <w:szCs w:val="20"/>
              </w:rPr>
            </w:pPr>
            <w:r w:rsidRPr="00620244">
              <w:rPr>
                <w:rFonts w:cs="Garamond"/>
                <w:b/>
                <w:sz w:val="20"/>
                <w:szCs w:val="20"/>
              </w:rPr>
              <w:t>Status denne periode</w:t>
            </w:r>
          </w:p>
        </w:tc>
        <w:tc>
          <w:tcPr>
            <w:tcW w:w="567" w:type="dxa"/>
            <w:vMerge w:val="restart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b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b/>
                <w:sz w:val="20"/>
                <w:szCs w:val="20"/>
              </w:rPr>
            </w:pPr>
            <w:r w:rsidRPr="00620244">
              <w:rPr>
                <w:rFonts w:cs="Garamond"/>
                <w:b/>
                <w:sz w:val="20"/>
                <w:szCs w:val="20"/>
              </w:rPr>
              <w:t>Status sidste periode</w:t>
            </w:r>
          </w:p>
        </w:tc>
      </w:tr>
      <w:tr w:rsidR="00B24C7C" w:rsidRPr="00620244" w:rsidTr="00620244">
        <w:tc>
          <w:tcPr>
            <w:tcW w:w="2381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 w:rsidRPr="00620244">
              <w:rPr>
                <w:rFonts w:cs="Garamond"/>
                <w:sz w:val="20"/>
                <w:szCs w:val="20"/>
              </w:rPr>
              <w:t>Samlet</w:t>
            </w:r>
          </w:p>
        </w:tc>
        <w:tc>
          <w:tcPr>
            <w:tcW w:w="715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 w:rsidRPr="00620244">
              <w:rPr>
                <w:rFonts w:cs="Garamond"/>
                <w:sz w:val="20"/>
                <w:szCs w:val="20"/>
              </w:rPr>
              <w:t xml:space="preserve">Tid </w:t>
            </w:r>
          </w:p>
        </w:tc>
        <w:tc>
          <w:tcPr>
            <w:tcW w:w="776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 w:rsidRPr="00620244">
              <w:rPr>
                <w:rFonts w:cs="Garamond"/>
                <w:sz w:val="20"/>
                <w:szCs w:val="20"/>
              </w:rPr>
              <w:t>Scope</w:t>
            </w:r>
          </w:p>
        </w:tc>
        <w:tc>
          <w:tcPr>
            <w:tcW w:w="715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 w:rsidRPr="00620244">
              <w:rPr>
                <w:rFonts w:cs="Garamond"/>
                <w:sz w:val="20"/>
                <w:szCs w:val="20"/>
              </w:rPr>
              <w:t>Res.</w:t>
            </w:r>
          </w:p>
        </w:tc>
        <w:tc>
          <w:tcPr>
            <w:tcW w:w="567" w:type="dxa"/>
            <w:vMerge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</w:p>
        </w:tc>
        <w:tc>
          <w:tcPr>
            <w:tcW w:w="839" w:type="dxa"/>
          </w:tcPr>
          <w:p w:rsidR="00B24C7C" w:rsidRPr="00620244" w:rsidRDefault="00B24C7C" w:rsidP="0062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 w:rsidRPr="00620244">
              <w:rPr>
                <w:rFonts w:cs="Garamond"/>
                <w:sz w:val="20"/>
                <w:szCs w:val="20"/>
              </w:rPr>
              <w:t>Samlet</w:t>
            </w:r>
          </w:p>
        </w:tc>
        <w:tc>
          <w:tcPr>
            <w:tcW w:w="716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 w:rsidRPr="00620244">
              <w:rPr>
                <w:rFonts w:cs="Garamond"/>
                <w:sz w:val="20"/>
                <w:szCs w:val="20"/>
              </w:rPr>
              <w:t>Tid</w:t>
            </w:r>
          </w:p>
        </w:tc>
        <w:tc>
          <w:tcPr>
            <w:tcW w:w="776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 w:rsidRPr="00620244">
              <w:rPr>
                <w:rFonts w:cs="Garamond"/>
                <w:sz w:val="20"/>
                <w:szCs w:val="20"/>
              </w:rPr>
              <w:t>Scope</w:t>
            </w:r>
          </w:p>
        </w:tc>
        <w:tc>
          <w:tcPr>
            <w:tcW w:w="716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 w:rsidRPr="00620244">
              <w:rPr>
                <w:rFonts w:cs="Garamond"/>
                <w:sz w:val="20"/>
                <w:szCs w:val="20"/>
              </w:rPr>
              <w:t>Res.</w:t>
            </w:r>
          </w:p>
        </w:tc>
      </w:tr>
      <w:tr w:rsidR="00EA7E0F" w:rsidTr="00B26022">
        <w:tc>
          <w:tcPr>
            <w:tcW w:w="2381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b/>
                <w:sz w:val="20"/>
                <w:szCs w:val="20"/>
              </w:rPr>
            </w:pPr>
            <w:r w:rsidRPr="00620244">
              <w:rPr>
                <w:rFonts w:cs="Garamond"/>
                <w:b/>
                <w:sz w:val="20"/>
                <w:szCs w:val="20"/>
              </w:rPr>
              <w:t>Samlet status GD2</w:t>
            </w:r>
          </w:p>
        </w:tc>
        <w:tc>
          <w:tcPr>
            <w:tcW w:w="839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Pr="00F017D7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highlight w:val="darkGreen"/>
              </w:rPr>
            </w:pPr>
          </w:p>
        </w:tc>
        <w:tc>
          <w:tcPr>
            <w:tcW w:w="77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  <w:tr w:rsidR="00B24C7C" w:rsidTr="00620244">
        <w:tc>
          <w:tcPr>
            <w:tcW w:w="2381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Adm. inddelinger (DAGI)</w:t>
            </w: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  <w:tr w:rsidR="00B24C7C" w:rsidTr="00620244">
        <w:tc>
          <w:tcPr>
            <w:tcW w:w="2381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Danske Stednavne (DS)</w:t>
            </w: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  <w:tr w:rsidR="00B24C7C" w:rsidTr="001D614B">
        <w:tc>
          <w:tcPr>
            <w:tcW w:w="2381" w:type="dxa"/>
          </w:tcPr>
          <w:p w:rsidR="00B24C7C" w:rsidRPr="00620244" w:rsidRDefault="00B24C7C" w:rsidP="00620244">
            <w:p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Adresseregister og tjenester (DAR og AWS)</w:t>
            </w:r>
          </w:p>
        </w:tc>
        <w:tc>
          <w:tcPr>
            <w:tcW w:w="839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  <w:tr w:rsidR="00B24C7C" w:rsidTr="00D941BC">
        <w:tc>
          <w:tcPr>
            <w:tcW w:w="2381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CPR adressegrundlag</w:t>
            </w:r>
          </w:p>
        </w:tc>
        <w:tc>
          <w:tcPr>
            <w:tcW w:w="839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  <w:tr w:rsidR="00B24C7C" w:rsidTr="00D941BC">
        <w:tc>
          <w:tcPr>
            <w:tcW w:w="2381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CVR adressegrundlag</w:t>
            </w: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  <w:tr w:rsidR="00620244" w:rsidTr="00091014">
        <w:tc>
          <w:tcPr>
            <w:tcW w:w="2381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SKAT adressegrundlag</w:t>
            </w:r>
          </w:p>
        </w:tc>
        <w:tc>
          <w:tcPr>
            <w:tcW w:w="839" w:type="dxa"/>
            <w:shd w:val="clear" w:color="auto" w:fill="auto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auto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auto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auto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FF00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FF00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  <w:tr w:rsidR="00B24C7C" w:rsidTr="00620244">
        <w:tc>
          <w:tcPr>
            <w:tcW w:w="2381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DST adressegrundlag</w:t>
            </w: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  <w:tr w:rsidR="00B24C7C" w:rsidTr="001D614B">
        <w:tc>
          <w:tcPr>
            <w:tcW w:w="2381" w:type="dxa"/>
          </w:tcPr>
          <w:p w:rsidR="00B24C7C" w:rsidRPr="00620244" w:rsidRDefault="00B24C7C" w:rsidP="0062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Supplerende adresser</w:t>
            </w: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  <w:tr w:rsidR="00B24C7C" w:rsidTr="00D513B3">
        <w:tc>
          <w:tcPr>
            <w:tcW w:w="2381" w:type="dxa"/>
          </w:tcPr>
          <w:p w:rsidR="00B24C7C" w:rsidRPr="00620244" w:rsidRDefault="00B24C7C" w:rsidP="0062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Lovprojektet (GD1/GD2)</w:t>
            </w: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  <w:tr w:rsidR="00B24C7C" w:rsidTr="001D614B">
        <w:tc>
          <w:tcPr>
            <w:tcW w:w="2381" w:type="dxa"/>
          </w:tcPr>
          <w:p w:rsidR="00B24C7C" w:rsidRPr="00620244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Testprojektet (GD1/GD2)</w:t>
            </w:r>
          </w:p>
        </w:tc>
        <w:tc>
          <w:tcPr>
            <w:tcW w:w="839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5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567" w:type="dxa"/>
            <w:vMerge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839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76" w:type="dxa"/>
            <w:shd w:val="clear" w:color="auto" w:fill="00B05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  <w:tc>
          <w:tcPr>
            <w:tcW w:w="716" w:type="dxa"/>
            <w:shd w:val="clear" w:color="auto" w:fill="FFFF00"/>
          </w:tcPr>
          <w:p w:rsidR="00B24C7C" w:rsidRDefault="00B24C7C" w:rsidP="003D7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aramond"/>
              </w:rPr>
            </w:pPr>
          </w:p>
        </w:tc>
      </w:tr>
    </w:tbl>
    <w:p w:rsidR="00241AB5" w:rsidRDefault="00241AB5" w:rsidP="003D732E">
      <w:pPr>
        <w:autoSpaceDE w:val="0"/>
        <w:autoSpaceDN w:val="0"/>
        <w:adjustRightInd w:val="0"/>
        <w:spacing w:after="0" w:line="240" w:lineRule="auto"/>
        <w:jc w:val="both"/>
      </w:pPr>
    </w:p>
    <w:p w:rsidR="0062393B" w:rsidRPr="00B01642" w:rsidRDefault="0062393B" w:rsidP="0062393B">
      <w:pPr>
        <w:pStyle w:val="Overskrift3"/>
        <w:jc w:val="both"/>
      </w:pPr>
      <w:r>
        <w:lastRenderedPageBreak/>
        <w:t xml:space="preserve">Uddybning af registerprojekternes </w:t>
      </w:r>
      <w:r w:rsidR="00BA6ECC">
        <w:t>status</w:t>
      </w:r>
    </w:p>
    <w:p w:rsidR="0062393B" w:rsidRDefault="0062393B" w:rsidP="003D732E">
      <w:pPr>
        <w:autoSpaceDE w:val="0"/>
        <w:autoSpaceDN w:val="0"/>
        <w:adjustRightInd w:val="0"/>
        <w:spacing w:after="0" w:line="240" w:lineRule="auto"/>
        <w:jc w:val="both"/>
      </w:pPr>
    </w:p>
    <w:p w:rsidR="0086474A" w:rsidRDefault="00EE4CD9" w:rsidP="00E4535A">
      <w:pPr>
        <w:rPr>
          <w:color w:val="000000" w:themeColor="text1"/>
        </w:rPr>
      </w:pPr>
      <w:r w:rsidRPr="00EE4CD9">
        <w:t xml:space="preserve">DAGI er fortsat i gul på ressourcer som følge af, </w:t>
      </w:r>
      <w:r>
        <w:t xml:space="preserve">at </w:t>
      </w:r>
      <w:r w:rsidRPr="00EE4CD9">
        <w:t xml:space="preserve">der </w:t>
      </w:r>
      <w:r w:rsidRPr="00EE4CD9">
        <w:rPr>
          <w:color w:val="000000" w:themeColor="text1"/>
        </w:rPr>
        <w:t>fortsat er reducerede r</w:t>
      </w:r>
      <w:r w:rsidR="00FF27C2">
        <w:rPr>
          <w:color w:val="000000" w:themeColor="text1"/>
        </w:rPr>
        <w:t xml:space="preserve">essourcer tilknyttet projektet. </w:t>
      </w:r>
      <w:r w:rsidR="0086474A">
        <w:rPr>
          <w:color w:val="000000" w:themeColor="text1"/>
        </w:rPr>
        <w:t xml:space="preserve">Udfordringen søges løst ved, at </w:t>
      </w:r>
      <w:r w:rsidR="00FF27C2">
        <w:rPr>
          <w:color w:val="000000" w:themeColor="text1"/>
        </w:rPr>
        <w:t xml:space="preserve">tilføre projektet ressourcer. Hertil er der </w:t>
      </w:r>
      <w:r w:rsidR="0086474A">
        <w:rPr>
          <w:color w:val="000000" w:themeColor="text1"/>
        </w:rPr>
        <w:t>slået en stilling op</w:t>
      </w:r>
      <w:r w:rsidR="00FF27C2">
        <w:rPr>
          <w:color w:val="000000" w:themeColor="text1"/>
        </w:rPr>
        <w:t xml:space="preserve"> i SDFE</w:t>
      </w:r>
      <w:r w:rsidR="0086474A">
        <w:rPr>
          <w:color w:val="000000" w:themeColor="text1"/>
        </w:rPr>
        <w:t xml:space="preserve"> med forventet besættelse 1. april 2016.</w:t>
      </w:r>
    </w:p>
    <w:p w:rsidR="00120E74" w:rsidRDefault="005D62E5" w:rsidP="00E4535A">
      <w:r w:rsidRPr="002F3D88">
        <w:t>DAR er f</w:t>
      </w:r>
      <w:r w:rsidR="002F3D88" w:rsidRPr="002F3D88">
        <w:t xml:space="preserve">ortsat samlet set i gul, men er i </w:t>
      </w:r>
      <w:r w:rsidRPr="002F3D88">
        <w:t>grøn på tid</w:t>
      </w:r>
      <w:r w:rsidR="002F3D88" w:rsidRPr="002F3D88">
        <w:t>,</w:t>
      </w:r>
      <w:r w:rsidR="00683C50" w:rsidRPr="002F3D88">
        <w:t xml:space="preserve"> idet der </w:t>
      </w:r>
      <w:r w:rsidR="002F3D88" w:rsidRPr="002F3D88">
        <w:t>fortsat</w:t>
      </w:r>
      <w:r w:rsidR="00683C50" w:rsidRPr="002F3D88">
        <w:t xml:space="preserve"> leveres rettidigt</w:t>
      </w:r>
      <w:r w:rsidR="00120E74">
        <w:t xml:space="preserve">. </w:t>
      </w:r>
      <w:r w:rsidR="004F1FF1">
        <w:t xml:space="preserve">Scope er fortsat i gul, da </w:t>
      </w:r>
      <w:r w:rsidR="0086474A">
        <w:t xml:space="preserve">finansiering af scopeudvidelsen med </w:t>
      </w:r>
      <w:r w:rsidR="004F1FF1">
        <w:t>en direkte punkt-til-punkt</w:t>
      </w:r>
      <w:r w:rsidR="0086474A">
        <w:t xml:space="preserve"> integration mellem DAR og CPR endnu </w:t>
      </w:r>
      <w:r w:rsidR="004F1FF1">
        <w:t xml:space="preserve">ikke </w:t>
      </w:r>
      <w:r w:rsidR="0086474A">
        <w:t>er afklaret</w:t>
      </w:r>
      <w:r w:rsidR="004F1FF1">
        <w:t>.</w:t>
      </w:r>
      <w:r w:rsidR="00120E74">
        <w:t xml:space="preserve"> </w:t>
      </w:r>
      <w:r w:rsidR="004F1FF1">
        <w:t xml:space="preserve">Ressourcer er også fortsat i gul, da forhandling af kontrakten mellem SDFE og leverandøren om udvikling og drift af det kommende DAR 1.0 ikke er afsluttet, hvorfor de økonomiske konsekvenser endnu ikke kendes. </w:t>
      </w:r>
      <w:r w:rsidR="00120E74">
        <w:t xml:space="preserve">Den adressefaglige kerneressource, Morten Lind, stopper d. </w:t>
      </w:r>
      <w:r w:rsidR="0086474A">
        <w:t>4. marts 2016</w:t>
      </w:r>
      <w:r w:rsidR="004F1FF1">
        <w:t>.</w:t>
      </w:r>
      <w:r w:rsidR="0086474A">
        <w:t xml:space="preserve"> Projektet har</w:t>
      </w:r>
      <w:r w:rsidR="004F1FF1">
        <w:t xml:space="preserve"> igangsat en række tiltag for at afhjælpe videnstabet.  D</w:t>
      </w:r>
      <w:r w:rsidR="00120E74">
        <w:t xml:space="preserve">er er ansat ny medarbejder pr. </w:t>
      </w:r>
      <w:r w:rsidR="0086474A">
        <w:t>1. marts 2016</w:t>
      </w:r>
      <w:r w:rsidR="004F1FF1">
        <w:t xml:space="preserve"> med erfaring inden for kommunalfaglig adressefastsættelse, og der vil ved kontraktindgåelse med KOMBIT blive lagt vægt på, at KOMBIT i højere grad selvstændigt d</w:t>
      </w:r>
      <w:r w:rsidR="00FF27C2">
        <w:t>river udviklingsprocessen. Selv</w:t>
      </w:r>
      <w:r w:rsidR="004F1FF1">
        <w:t>om der sker en opbygning af erfaring med adressedomæne</w:t>
      </w:r>
      <w:r w:rsidR="00EB5251">
        <w:t xml:space="preserve"> i projektet</w:t>
      </w:r>
      <w:r w:rsidR="004B5C97">
        <w:t xml:space="preserve">, vil det ikke på kort sigt kunne opbygge og erstatte </w:t>
      </w:r>
      <w:r w:rsidR="00EB5251">
        <w:t>Morten Linds</w:t>
      </w:r>
      <w:r w:rsidR="004B5C97">
        <w:t xml:space="preserve"> domænekendskab, og selv om DAR idriftsættes planmæssigt januar 2017, må det forventes, at der vil være en øget risiko for fejl, som skal afhjælpes efter idriftsættelsen.</w:t>
      </w:r>
    </w:p>
    <w:p w:rsidR="000F48C1" w:rsidRDefault="005D62E5" w:rsidP="00D827A7">
      <w:pPr>
        <w:rPr>
          <w:color w:val="000000" w:themeColor="text1"/>
        </w:rPr>
      </w:pPr>
      <w:r>
        <w:rPr>
          <w:color w:val="000000" w:themeColor="text1"/>
        </w:rPr>
        <w:t>CPR-adressegrundlag e</w:t>
      </w:r>
      <w:r w:rsidR="00CB01E3">
        <w:rPr>
          <w:color w:val="000000" w:themeColor="text1"/>
        </w:rPr>
        <w:t>r fortsat samlet set i gul</w:t>
      </w:r>
      <w:r w:rsidR="008A65B4">
        <w:rPr>
          <w:color w:val="000000" w:themeColor="text1"/>
        </w:rPr>
        <w:t>, da p</w:t>
      </w:r>
      <w:r w:rsidR="00CB01E3">
        <w:rPr>
          <w:color w:val="000000" w:themeColor="text1"/>
        </w:rPr>
        <w:t xml:space="preserve">rojektet er presset på </w:t>
      </w:r>
      <w:r w:rsidR="008A65B4">
        <w:rPr>
          <w:color w:val="000000" w:themeColor="text1"/>
        </w:rPr>
        <w:t xml:space="preserve">tid og ressourcer. CPR </w:t>
      </w:r>
      <w:r w:rsidR="00EB5251">
        <w:rPr>
          <w:color w:val="000000" w:themeColor="text1"/>
        </w:rPr>
        <w:t>forvente</w:t>
      </w:r>
      <w:r w:rsidR="0086474A">
        <w:rPr>
          <w:color w:val="000000" w:themeColor="text1"/>
        </w:rPr>
        <w:t>r</w:t>
      </w:r>
      <w:r w:rsidR="008A65B4">
        <w:rPr>
          <w:color w:val="000000" w:themeColor="text1"/>
        </w:rPr>
        <w:t xml:space="preserve"> fortsat</w:t>
      </w:r>
      <w:r w:rsidR="00EB5251">
        <w:rPr>
          <w:color w:val="000000" w:themeColor="text1"/>
        </w:rPr>
        <w:t>,</w:t>
      </w:r>
      <w:r w:rsidR="00CB01E3">
        <w:rPr>
          <w:color w:val="000000" w:themeColor="text1"/>
        </w:rPr>
        <w:t xml:space="preserve"> at </w:t>
      </w:r>
      <w:r w:rsidR="008A65B4">
        <w:rPr>
          <w:color w:val="000000" w:themeColor="text1"/>
        </w:rPr>
        <w:t xml:space="preserve">projektets tidsplaner </w:t>
      </w:r>
      <w:r w:rsidR="00CB01E3">
        <w:rPr>
          <w:color w:val="000000" w:themeColor="text1"/>
        </w:rPr>
        <w:t>overholdes</w:t>
      </w:r>
      <w:r w:rsidR="00D827A7">
        <w:rPr>
          <w:color w:val="000000" w:themeColor="text1"/>
        </w:rPr>
        <w:t xml:space="preserve">. </w:t>
      </w:r>
    </w:p>
    <w:p w:rsidR="006053F3" w:rsidRDefault="000F48C1" w:rsidP="008E665A">
      <w:pPr>
        <w:rPr>
          <w:color w:val="000000" w:themeColor="text1"/>
        </w:rPr>
      </w:pPr>
      <w:r w:rsidRPr="00D827A7">
        <w:rPr>
          <w:color w:val="000000" w:themeColor="text1"/>
        </w:rPr>
        <w:t>CVR-adressegrundlag</w:t>
      </w:r>
      <w:r w:rsidR="00D827A7" w:rsidRPr="00D827A7">
        <w:rPr>
          <w:color w:val="000000" w:themeColor="text1"/>
        </w:rPr>
        <w:t xml:space="preserve"> </w:t>
      </w:r>
      <w:r w:rsidR="000D7DF7">
        <w:rPr>
          <w:color w:val="000000" w:themeColor="text1"/>
        </w:rPr>
        <w:t>er samlet set gået fra gul til grøn, idet der er kommet et ledelsesgodkendt løsningsforslag fra SKAT, der imødekommer udfordringerne omkring anvendelse af adressedata i datau</w:t>
      </w:r>
      <w:r w:rsidR="006053F3">
        <w:rPr>
          <w:color w:val="000000" w:themeColor="text1"/>
        </w:rPr>
        <w:t>dvekslingen mellem SKAT og ERST.  SKAT har desuden bekræftet</w:t>
      </w:r>
      <w:r w:rsidR="000D7DF7">
        <w:rPr>
          <w:color w:val="000000" w:themeColor="text1"/>
        </w:rPr>
        <w:t xml:space="preserve">, at SKAT vil tilpasse sine interne processer. </w:t>
      </w:r>
      <w:r w:rsidR="006053F3">
        <w:rPr>
          <w:color w:val="000000" w:themeColor="text1"/>
        </w:rPr>
        <w:t xml:space="preserve">Som følge af den sene afklaring med SKAT er projektet fortsat forsinket i forhold til løsningsdesign og efterfølgende aktiviteter. Projektet vil bestræbe sig på at minimere eventuelle forsinkelser i forbindelse med ovenstående </w:t>
      </w:r>
      <w:r w:rsidR="006053F3" w:rsidRPr="009D004B">
        <w:rPr>
          <w:color w:val="000000" w:themeColor="text1"/>
        </w:rPr>
        <w:t>og forventer fortsat at</w:t>
      </w:r>
      <w:r w:rsidR="009D004B">
        <w:rPr>
          <w:color w:val="000000" w:themeColor="text1"/>
        </w:rPr>
        <w:t xml:space="preserve"> kunne gå i drift 1. april 2017.</w:t>
      </w:r>
    </w:p>
    <w:p w:rsidR="000F48C1" w:rsidRDefault="000F48C1" w:rsidP="003D732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SKAT </w:t>
      </w:r>
      <w:r w:rsidR="002602C6">
        <w:rPr>
          <w:color w:val="000000" w:themeColor="text1"/>
        </w:rPr>
        <w:t>har</w:t>
      </w:r>
      <w:r w:rsidR="002602C6" w:rsidRPr="006E5872">
        <w:rPr>
          <w:color w:val="000000" w:themeColor="text1"/>
        </w:rPr>
        <w:t xml:space="preserve"> ikke</w:t>
      </w:r>
      <w:r w:rsidR="002602C6">
        <w:rPr>
          <w:color w:val="000000" w:themeColor="text1"/>
        </w:rPr>
        <w:t xml:space="preserve"> leveret statusrapport for SKAT-</w:t>
      </w:r>
      <w:r>
        <w:rPr>
          <w:color w:val="000000" w:themeColor="text1"/>
        </w:rPr>
        <w:t>adressegrundlag</w:t>
      </w:r>
      <w:r w:rsidR="00FF27C2">
        <w:rPr>
          <w:color w:val="000000" w:themeColor="text1"/>
        </w:rPr>
        <w:t>, men med bekræftelsen fra SKAT om, at de leverer løsningsdesign og tilpasser egne processer må det antages, at projektet ikke længere er i rød status.</w:t>
      </w:r>
      <w:r w:rsidR="00BB2F16">
        <w:rPr>
          <w:color w:val="000000" w:themeColor="text1"/>
        </w:rPr>
        <w:t xml:space="preserve"> SKAT/SKM har overfor Programkoordinationen bekræftet, at der vil blive afsat de nødvendige ressourcer.</w:t>
      </w:r>
    </w:p>
    <w:p w:rsidR="000F48C1" w:rsidRDefault="000F48C1" w:rsidP="003D732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8E665A" w:rsidRDefault="000F48C1" w:rsidP="00EE580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Test-projektet (GD1-GD2)</w:t>
      </w:r>
      <w:r w:rsidR="00FE5094">
        <w:rPr>
          <w:color w:val="000000" w:themeColor="text1"/>
        </w:rPr>
        <w:t xml:space="preserve"> er </w:t>
      </w:r>
      <w:r w:rsidR="008E665A">
        <w:rPr>
          <w:color w:val="000000" w:themeColor="text1"/>
        </w:rPr>
        <w:t xml:space="preserve">samlet set gået fra gul til grøn, fordi ressourcer er gået i grøn på grund af tilførsel af </w:t>
      </w:r>
      <w:r w:rsidR="00F947D7">
        <w:rPr>
          <w:color w:val="000000" w:themeColor="text1"/>
        </w:rPr>
        <w:t>konsulent</w:t>
      </w:r>
      <w:r w:rsidR="008E665A">
        <w:rPr>
          <w:color w:val="000000" w:themeColor="text1"/>
        </w:rPr>
        <w:t>re</w:t>
      </w:r>
      <w:r w:rsidR="00F947D7">
        <w:rPr>
          <w:color w:val="000000" w:themeColor="text1"/>
        </w:rPr>
        <w:t>ssourcer</w:t>
      </w:r>
      <w:r w:rsidR="001734AF">
        <w:rPr>
          <w:color w:val="000000" w:themeColor="text1"/>
        </w:rPr>
        <w:t xml:space="preserve">. </w:t>
      </w:r>
      <w:r w:rsidR="00EB5251">
        <w:rPr>
          <w:color w:val="000000" w:themeColor="text1"/>
        </w:rPr>
        <w:t xml:space="preserve"> </w:t>
      </w:r>
      <w:r w:rsidR="00F947D7">
        <w:rPr>
          <w:color w:val="000000" w:themeColor="text1"/>
        </w:rPr>
        <w:t>Konsulentassistancen er udmøntningen af</w:t>
      </w:r>
      <w:r w:rsidR="00EC3353">
        <w:rPr>
          <w:color w:val="000000" w:themeColor="text1"/>
        </w:rPr>
        <w:t xml:space="preserve"> </w:t>
      </w:r>
      <w:r w:rsidR="008E665A">
        <w:rPr>
          <w:color w:val="000000" w:themeColor="text1"/>
        </w:rPr>
        <w:t>Grunddatabestyrelsen</w:t>
      </w:r>
      <w:r w:rsidR="00EC3353">
        <w:rPr>
          <w:color w:val="000000" w:themeColor="text1"/>
        </w:rPr>
        <w:t>s beslutning om</w:t>
      </w:r>
      <w:r w:rsidR="008B2E8C">
        <w:rPr>
          <w:color w:val="000000" w:themeColor="text1"/>
        </w:rPr>
        <w:t xml:space="preserve"> i første omgang </w:t>
      </w:r>
      <w:r w:rsidR="00EC3353">
        <w:rPr>
          <w:color w:val="000000" w:themeColor="text1"/>
        </w:rPr>
        <w:t xml:space="preserve"> at afsætte</w:t>
      </w:r>
      <w:r w:rsidR="008E665A">
        <w:rPr>
          <w:color w:val="000000" w:themeColor="text1"/>
        </w:rPr>
        <w:t xml:space="preserve"> 1 mio. kr</w:t>
      </w:r>
      <w:r w:rsidR="00EB5251">
        <w:rPr>
          <w:color w:val="000000" w:themeColor="text1"/>
        </w:rPr>
        <w:t>.</w:t>
      </w:r>
      <w:r w:rsidR="008E665A">
        <w:rPr>
          <w:color w:val="000000" w:themeColor="text1"/>
        </w:rPr>
        <w:t xml:space="preserve"> yderligere til tværgående test. Tid er fortsat i gul, da de</w:t>
      </w:r>
      <w:r w:rsidR="00BD70A9">
        <w:rPr>
          <w:color w:val="000000" w:themeColor="text1"/>
        </w:rPr>
        <w:t>t</w:t>
      </w:r>
      <w:r w:rsidR="008E665A">
        <w:rPr>
          <w:color w:val="000000" w:themeColor="text1"/>
        </w:rPr>
        <w:t xml:space="preserve"> er usikkert, om alle projekterne i GD1 og GD2 kan nå at få testdata klar til 18. april. Testprojektet er i løbende dialog med registerprojekterne</w:t>
      </w:r>
      <w:r w:rsidR="00EC3353">
        <w:rPr>
          <w:color w:val="000000" w:themeColor="text1"/>
        </w:rPr>
        <w:t xml:space="preserve"> for at mitigere risikoen</w:t>
      </w:r>
      <w:r w:rsidR="008E665A">
        <w:rPr>
          <w:color w:val="000000" w:themeColor="text1"/>
        </w:rPr>
        <w:t>.</w:t>
      </w:r>
    </w:p>
    <w:p w:rsidR="000F48C1" w:rsidRDefault="000F48C1" w:rsidP="003D732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1F3443" w:rsidRDefault="008B2E8C" w:rsidP="003D732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Lov-</w:t>
      </w:r>
      <w:r w:rsidR="000F48C1">
        <w:rPr>
          <w:color w:val="000000" w:themeColor="text1"/>
        </w:rPr>
        <w:t>projektet (GD1-GD2)</w:t>
      </w:r>
      <w:r w:rsidR="00EE5804">
        <w:rPr>
          <w:color w:val="000000" w:themeColor="text1"/>
        </w:rPr>
        <w:t xml:space="preserve"> er </w:t>
      </w:r>
      <w:r w:rsidR="001F3443">
        <w:rPr>
          <w:color w:val="000000" w:themeColor="text1"/>
        </w:rPr>
        <w:t>fortsat i grøn</w:t>
      </w:r>
      <w:r w:rsidR="00EC3353">
        <w:rPr>
          <w:color w:val="000000" w:themeColor="text1"/>
        </w:rPr>
        <w:t>, men er gået i gul på ressourcer som følge af Morten Linds opsigelse. Der foretages en strukt</w:t>
      </w:r>
      <w:r>
        <w:rPr>
          <w:color w:val="000000" w:themeColor="text1"/>
        </w:rPr>
        <w:t>ureret videns</w:t>
      </w:r>
      <w:r w:rsidR="00EC3353">
        <w:rPr>
          <w:color w:val="000000" w:themeColor="text1"/>
        </w:rPr>
        <w:t xml:space="preserve">overdragelse, ligesom det er besluttet at Mortens ressourcer fokuseres på Lovprojektet den resterende tid. </w:t>
      </w:r>
    </w:p>
    <w:p w:rsidR="0066611C" w:rsidRPr="005B60C9" w:rsidRDefault="0066611C" w:rsidP="0066611C">
      <w:pPr>
        <w:pStyle w:val="Overskrift2"/>
        <w:jc w:val="both"/>
      </w:pPr>
      <w:r w:rsidRPr="005B60C9">
        <w:t>Løsning</w:t>
      </w:r>
    </w:p>
    <w:p w:rsidR="0066611C" w:rsidRDefault="0066611C" w:rsidP="00BD70A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D046B">
        <w:rPr>
          <w:rFonts w:cs="Garamond,Italic"/>
          <w:i/>
          <w:iCs/>
        </w:rPr>
        <w:t>Det indstilles</w:t>
      </w:r>
      <w:r w:rsidRPr="007D046B">
        <w:rPr>
          <w:rFonts w:cs="Garamond"/>
        </w:rPr>
        <w:t xml:space="preserve">, at </w:t>
      </w:r>
      <w:r w:rsidR="009D004B">
        <w:rPr>
          <w:rFonts w:cs="Garamond"/>
        </w:rPr>
        <w:t>styregruppen</w:t>
      </w:r>
      <w:r>
        <w:rPr>
          <w:rFonts w:cs="Garamond"/>
        </w:rPr>
        <w:t xml:space="preserve"> d</w:t>
      </w:r>
      <w:r w:rsidRPr="0072414F">
        <w:rPr>
          <w:rFonts w:cs="Garamond"/>
        </w:rPr>
        <w:t>røfter status for delprogrammets fremdrift.</w:t>
      </w:r>
    </w:p>
    <w:p w:rsidR="0066611C" w:rsidRPr="008677BB" w:rsidRDefault="0066611C" w:rsidP="0066611C">
      <w:pPr>
        <w:keepNext/>
        <w:spacing w:before="280"/>
        <w:jc w:val="both"/>
        <w:outlineLvl w:val="1"/>
      </w:pPr>
      <w:r w:rsidRPr="0015280F">
        <w:rPr>
          <w:rFonts w:ascii="Arial" w:hAnsi="Arial" w:cs="Arial"/>
          <w:b/>
          <w:bCs/>
          <w:iCs/>
          <w:sz w:val="20"/>
          <w:szCs w:val="28"/>
        </w:rPr>
        <w:t>Procedure</w:t>
      </w:r>
      <w:r>
        <w:br/>
      </w:r>
      <w:r w:rsidR="009D004B">
        <w:rPr>
          <w:i/>
        </w:rPr>
        <w:t>Ikke relevant</w:t>
      </w:r>
    </w:p>
    <w:p w:rsidR="00297249" w:rsidRDefault="00BD70A9" w:rsidP="0066611C">
      <w:pPr>
        <w:pStyle w:val="Overskrift2"/>
        <w:jc w:val="both"/>
      </w:pPr>
      <w:r>
        <w:t>Kommunikation</w:t>
      </w:r>
    </w:p>
    <w:p w:rsidR="00BD70A9" w:rsidRPr="00BD70A9" w:rsidRDefault="00BD70A9" w:rsidP="00BD70A9">
      <w:pPr>
        <w:rPr>
          <w:i/>
        </w:rPr>
      </w:pPr>
      <w:r>
        <w:rPr>
          <w:i/>
        </w:rPr>
        <w:t>Ikke relevant</w:t>
      </w:r>
    </w:p>
    <w:sectPr w:rsidR="00BD70A9" w:rsidRPr="00BD70A9" w:rsidSect="009E377C">
      <w:headerReference w:type="default" r:id="rId9"/>
      <w:headerReference w:type="first" r:id="rId10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03" w:rsidRDefault="002A4303">
      <w:r>
        <w:separator/>
      </w:r>
    </w:p>
  </w:endnote>
  <w:endnote w:type="continuationSeparator" w:id="0">
    <w:p w:rsidR="002A4303" w:rsidRDefault="002A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03" w:rsidRDefault="002A4303">
      <w:r>
        <w:separator/>
      </w:r>
    </w:p>
  </w:footnote>
  <w:footnote w:type="continuationSeparator" w:id="0">
    <w:p w:rsidR="002A4303" w:rsidRDefault="002A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9744EF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9744EF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AC161E" w:rsidP="004950C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F64D6C" wp14:editId="6A04F09D">
          <wp:simplePos x="0" y="0"/>
          <wp:positionH relativeFrom="page">
            <wp:posOffset>5263562</wp:posOffset>
          </wp:positionH>
          <wp:positionV relativeFrom="page">
            <wp:posOffset>550985</wp:posOffset>
          </wp:positionV>
          <wp:extent cx="1864069" cy="726830"/>
          <wp:effectExtent l="0" t="0" r="317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07" cy="729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Pr="004950C6" w:rsidRDefault="00107B13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3636001"/>
    <w:multiLevelType w:val="hybridMultilevel"/>
    <w:tmpl w:val="E88029EE"/>
    <w:lvl w:ilvl="0" w:tplc="FE56D57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237B6EB2"/>
    <w:multiLevelType w:val="hybridMultilevel"/>
    <w:tmpl w:val="E9A87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A3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0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8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A7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4E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E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D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65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2A3391C"/>
    <w:multiLevelType w:val="hybridMultilevel"/>
    <w:tmpl w:val="12F46666"/>
    <w:lvl w:ilvl="0" w:tplc="68FE4CA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E0E14"/>
    <w:multiLevelType w:val="hybridMultilevel"/>
    <w:tmpl w:val="AAA4E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365EE"/>
    <w:multiLevelType w:val="hybridMultilevel"/>
    <w:tmpl w:val="5D281A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F1EA9"/>
    <w:multiLevelType w:val="hybridMultilevel"/>
    <w:tmpl w:val="7FE03B18"/>
    <w:lvl w:ilvl="0" w:tplc="FE8E466E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1">
    <w:nsid w:val="605017A6"/>
    <w:multiLevelType w:val="hybridMultilevel"/>
    <w:tmpl w:val="CBC85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35B1F"/>
    <w:multiLevelType w:val="hybridMultilevel"/>
    <w:tmpl w:val="C0B0B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4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5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E3CC6"/>
    <w:multiLevelType w:val="hybridMultilevel"/>
    <w:tmpl w:val="9336F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E00DF"/>
    <w:multiLevelType w:val="hybridMultilevel"/>
    <w:tmpl w:val="91B6875E"/>
    <w:lvl w:ilvl="0" w:tplc="D0608ED8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8"/>
  </w:num>
  <w:num w:numId="5">
    <w:abstractNumId w:val="2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4"/>
  </w:num>
  <w:num w:numId="17">
    <w:abstractNumId w:val="23"/>
  </w:num>
  <w:num w:numId="18">
    <w:abstractNumId w:val="8"/>
  </w:num>
  <w:num w:numId="19">
    <w:abstractNumId w:val="20"/>
  </w:num>
  <w:num w:numId="20">
    <w:abstractNumId w:val="12"/>
  </w:num>
  <w:num w:numId="21">
    <w:abstractNumId w:val="9"/>
  </w:num>
  <w:num w:numId="22">
    <w:abstractNumId w:val="25"/>
  </w:num>
  <w:num w:numId="23">
    <w:abstractNumId w:val="16"/>
  </w:num>
  <w:num w:numId="24">
    <w:abstractNumId w:val="21"/>
  </w:num>
  <w:num w:numId="25">
    <w:abstractNumId w:val="13"/>
  </w:num>
  <w:num w:numId="26">
    <w:abstractNumId w:val="22"/>
  </w:num>
  <w:num w:numId="27">
    <w:abstractNumId w:val="18"/>
  </w:num>
  <w:num w:numId="28">
    <w:abstractNumId w:val="10"/>
  </w:num>
  <w:num w:numId="29">
    <w:abstractNumId w:val="26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0452D"/>
    <w:rsid w:val="00017AB4"/>
    <w:rsid w:val="00022F36"/>
    <w:rsid w:val="000250D6"/>
    <w:rsid w:val="00025355"/>
    <w:rsid w:val="00026308"/>
    <w:rsid w:val="000375E8"/>
    <w:rsid w:val="000421D4"/>
    <w:rsid w:val="00051A09"/>
    <w:rsid w:val="00066058"/>
    <w:rsid w:val="000769DC"/>
    <w:rsid w:val="00091014"/>
    <w:rsid w:val="00093B6A"/>
    <w:rsid w:val="000965A9"/>
    <w:rsid w:val="00096AB2"/>
    <w:rsid w:val="000A2FE7"/>
    <w:rsid w:val="000A4914"/>
    <w:rsid w:val="000A49E7"/>
    <w:rsid w:val="000B0DAA"/>
    <w:rsid w:val="000B75AA"/>
    <w:rsid w:val="000C1933"/>
    <w:rsid w:val="000C786C"/>
    <w:rsid w:val="000D18D7"/>
    <w:rsid w:val="000D6E63"/>
    <w:rsid w:val="000D795B"/>
    <w:rsid w:val="000D7DF7"/>
    <w:rsid w:val="000E150C"/>
    <w:rsid w:val="000E1D2D"/>
    <w:rsid w:val="000E576B"/>
    <w:rsid w:val="000F15FA"/>
    <w:rsid w:val="000F48C1"/>
    <w:rsid w:val="000F7B8F"/>
    <w:rsid w:val="00101552"/>
    <w:rsid w:val="00107B13"/>
    <w:rsid w:val="001105C6"/>
    <w:rsid w:val="00112004"/>
    <w:rsid w:val="00120E74"/>
    <w:rsid w:val="0012489C"/>
    <w:rsid w:val="00125EF6"/>
    <w:rsid w:val="001300A6"/>
    <w:rsid w:val="00135777"/>
    <w:rsid w:val="00136765"/>
    <w:rsid w:val="00144F29"/>
    <w:rsid w:val="0015280F"/>
    <w:rsid w:val="00153477"/>
    <w:rsid w:val="00153566"/>
    <w:rsid w:val="001569B0"/>
    <w:rsid w:val="00157745"/>
    <w:rsid w:val="00161CC7"/>
    <w:rsid w:val="001642D9"/>
    <w:rsid w:val="001734AF"/>
    <w:rsid w:val="00186F7F"/>
    <w:rsid w:val="0019217D"/>
    <w:rsid w:val="00192812"/>
    <w:rsid w:val="00193806"/>
    <w:rsid w:val="001B007C"/>
    <w:rsid w:val="001C081F"/>
    <w:rsid w:val="001C44A7"/>
    <w:rsid w:val="001C4B5D"/>
    <w:rsid w:val="001D614B"/>
    <w:rsid w:val="001E307A"/>
    <w:rsid w:val="001F3443"/>
    <w:rsid w:val="001F40A7"/>
    <w:rsid w:val="001F4299"/>
    <w:rsid w:val="00211AB6"/>
    <w:rsid w:val="00211E53"/>
    <w:rsid w:val="00216BE3"/>
    <w:rsid w:val="00216D0E"/>
    <w:rsid w:val="002171DE"/>
    <w:rsid w:val="00217E5B"/>
    <w:rsid w:val="002216EA"/>
    <w:rsid w:val="00227FFC"/>
    <w:rsid w:val="00232007"/>
    <w:rsid w:val="00234EF4"/>
    <w:rsid w:val="00241AB5"/>
    <w:rsid w:val="0024430C"/>
    <w:rsid w:val="002602C6"/>
    <w:rsid w:val="00263B29"/>
    <w:rsid w:val="002672F6"/>
    <w:rsid w:val="00270BA3"/>
    <w:rsid w:val="00272EEB"/>
    <w:rsid w:val="00275697"/>
    <w:rsid w:val="00281F84"/>
    <w:rsid w:val="0028680F"/>
    <w:rsid w:val="0029047D"/>
    <w:rsid w:val="002971B9"/>
    <w:rsid w:val="00297249"/>
    <w:rsid w:val="00297E3C"/>
    <w:rsid w:val="002A2114"/>
    <w:rsid w:val="002A2BF7"/>
    <w:rsid w:val="002A4303"/>
    <w:rsid w:val="002B1F5A"/>
    <w:rsid w:val="002C3D53"/>
    <w:rsid w:val="002D0714"/>
    <w:rsid w:val="002E326D"/>
    <w:rsid w:val="002F2D9E"/>
    <w:rsid w:val="002F3D88"/>
    <w:rsid w:val="002F5B8E"/>
    <w:rsid w:val="002F5B9A"/>
    <w:rsid w:val="00303582"/>
    <w:rsid w:val="00303F59"/>
    <w:rsid w:val="00331822"/>
    <w:rsid w:val="00343EAB"/>
    <w:rsid w:val="00350F46"/>
    <w:rsid w:val="00357D47"/>
    <w:rsid w:val="003604A0"/>
    <w:rsid w:val="00394486"/>
    <w:rsid w:val="00394909"/>
    <w:rsid w:val="003A2487"/>
    <w:rsid w:val="003A4BFC"/>
    <w:rsid w:val="003A7C5E"/>
    <w:rsid w:val="003D5141"/>
    <w:rsid w:val="003D64BC"/>
    <w:rsid w:val="003D6BF6"/>
    <w:rsid w:val="003D732E"/>
    <w:rsid w:val="003E59C4"/>
    <w:rsid w:val="003E6170"/>
    <w:rsid w:val="003F2EA2"/>
    <w:rsid w:val="003F7680"/>
    <w:rsid w:val="00403048"/>
    <w:rsid w:val="00406A77"/>
    <w:rsid w:val="0040700B"/>
    <w:rsid w:val="00417DE8"/>
    <w:rsid w:val="00420C65"/>
    <w:rsid w:val="0043074C"/>
    <w:rsid w:val="004342B8"/>
    <w:rsid w:val="004357F5"/>
    <w:rsid w:val="004452DC"/>
    <w:rsid w:val="0045008B"/>
    <w:rsid w:val="00483C3B"/>
    <w:rsid w:val="0048688D"/>
    <w:rsid w:val="00493EAD"/>
    <w:rsid w:val="004950C6"/>
    <w:rsid w:val="004B33C6"/>
    <w:rsid w:val="004B34D4"/>
    <w:rsid w:val="004B5C97"/>
    <w:rsid w:val="004C3BD5"/>
    <w:rsid w:val="004E05D4"/>
    <w:rsid w:val="004F1FF1"/>
    <w:rsid w:val="004F68CC"/>
    <w:rsid w:val="004F6B6B"/>
    <w:rsid w:val="005001B3"/>
    <w:rsid w:val="0050438F"/>
    <w:rsid w:val="00504494"/>
    <w:rsid w:val="0050453A"/>
    <w:rsid w:val="005328DB"/>
    <w:rsid w:val="00545F55"/>
    <w:rsid w:val="00553194"/>
    <w:rsid w:val="00555FE5"/>
    <w:rsid w:val="0056295B"/>
    <w:rsid w:val="00564020"/>
    <w:rsid w:val="00564900"/>
    <w:rsid w:val="00565D67"/>
    <w:rsid w:val="00570BB3"/>
    <w:rsid w:val="00576C37"/>
    <w:rsid w:val="005802EE"/>
    <w:rsid w:val="00584378"/>
    <w:rsid w:val="005A0090"/>
    <w:rsid w:val="005B220E"/>
    <w:rsid w:val="005B5A82"/>
    <w:rsid w:val="005C32DE"/>
    <w:rsid w:val="005D62E5"/>
    <w:rsid w:val="005D65D2"/>
    <w:rsid w:val="005E3E22"/>
    <w:rsid w:val="005E6CB9"/>
    <w:rsid w:val="0060445A"/>
    <w:rsid w:val="006053F3"/>
    <w:rsid w:val="00606A7D"/>
    <w:rsid w:val="0061252E"/>
    <w:rsid w:val="00620244"/>
    <w:rsid w:val="00620DCC"/>
    <w:rsid w:val="00620E25"/>
    <w:rsid w:val="0062393B"/>
    <w:rsid w:val="00626B35"/>
    <w:rsid w:val="0064467E"/>
    <w:rsid w:val="00654B71"/>
    <w:rsid w:val="0066611C"/>
    <w:rsid w:val="006757FC"/>
    <w:rsid w:val="00681EF0"/>
    <w:rsid w:val="00683C50"/>
    <w:rsid w:val="00690C8C"/>
    <w:rsid w:val="006971C5"/>
    <w:rsid w:val="006A3AA4"/>
    <w:rsid w:val="006B19B2"/>
    <w:rsid w:val="006B3B8E"/>
    <w:rsid w:val="006C08DC"/>
    <w:rsid w:val="006D3248"/>
    <w:rsid w:val="006D5EC7"/>
    <w:rsid w:val="006E5872"/>
    <w:rsid w:val="006E60C1"/>
    <w:rsid w:val="006E694D"/>
    <w:rsid w:val="006F0510"/>
    <w:rsid w:val="00702A50"/>
    <w:rsid w:val="00705CA7"/>
    <w:rsid w:val="00711522"/>
    <w:rsid w:val="00722C5A"/>
    <w:rsid w:val="007240BF"/>
    <w:rsid w:val="0072414F"/>
    <w:rsid w:val="007317FB"/>
    <w:rsid w:val="00736658"/>
    <w:rsid w:val="00741DC5"/>
    <w:rsid w:val="007502D6"/>
    <w:rsid w:val="00751A9F"/>
    <w:rsid w:val="007558AC"/>
    <w:rsid w:val="00764573"/>
    <w:rsid w:val="007709F3"/>
    <w:rsid w:val="0077111E"/>
    <w:rsid w:val="007729A1"/>
    <w:rsid w:val="00772A30"/>
    <w:rsid w:val="00774776"/>
    <w:rsid w:val="00794A97"/>
    <w:rsid w:val="007955B4"/>
    <w:rsid w:val="007A05C6"/>
    <w:rsid w:val="007B1A31"/>
    <w:rsid w:val="007B1E75"/>
    <w:rsid w:val="007C0A94"/>
    <w:rsid w:val="007C2199"/>
    <w:rsid w:val="007C3256"/>
    <w:rsid w:val="007E512C"/>
    <w:rsid w:val="007E79BF"/>
    <w:rsid w:val="007F382F"/>
    <w:rsid w:val="00810F06"/>
    <w:rsid w:val="00812F86"/>
    <w:rsid w:val="008208BC"/>
    <w:rsid w:val="00832E2F"/>
    <w:rsid w:val="00841F21"/>
    <w:rsid w:val="00850EB5"/>
    <w:rsid w:val="008511A5"/>
    <w:rsid w:val="0085337D"/>
    <w:rsid w:val="0085744B"/>
    <w:rsid w:val="008632C9"/>
    <w:rsid w:val="00863559"/>
    <w:rsid w:val="0086474A"/>
    <w:rsid w:val="008677BB"/>
    <w:rsid w:val="008745C8"/>
    <w:rsid w:val="0088440C"/>
    <w:rsid w:val="008A0687"/>
    <w:rsid w:val="008A65B4"/>
    <w:rsid w:val="008B018D"/>
    <w:rsid w:val="008B2E8C"/>
    <w:rsid w:val="008B3B52"/>
    <w:rsid w:val="008C230F"/>
    <w:rsid w:val="008C66B3"/>
    <w:rsid w:val="008D0573"/>
    <w:rsid w:val="008D1A60"/>
    <w:rsid w:val="008D21AE"/>
    <w:rsid w:val="008D4C5F"/>
    <w:rsid w:val="008D5495"/>
    <w:rsid w:val="008D7062"/>
    <w:rsid w:val="008D7E07"/>
    <w:rsid w:val="008E10CF"/>
    <w:rsid w:val="008E665A"/>
    <w:rsid w:val="008F0FE1"/>
    <w:rsid w:val="008F1933"/>
    <w:rsid w:val="008F456F"/>
    <w:rsid w:val="009118C8"/>
    <w:rsid w:val="00930E78"/>
    <w:rsid w:val="00941A0B"/>
    <w:rsid w:val="009475A6"/>
    <w:rsid w:val="009508BA"/>
    <w:rsid w:val="0095239D"/>
    <w:rsid w:val="00970F52"/>
    <w:rsid w:val="00971AA9"/>
    <w:rsid w:val="00974293"/>
    <w:rsid w:val="009744EF"/>
    <w:rsid w:val="00980EAF"/>
    <w:rsid w:val="0098420F"/>
    <w:rsid w:val="009859A7"/>
    <w:rsid w:val="00985C7E"/>
    <w:rsid w:val="009A06B6"/>
    <w:rsid w:val="009A06D8"/>
    <w:rsid w:val="009A167D"/>
    <w:rsid w:val="009B1328"/>
    <w:rsid w:val="009B7C02"/>
    <w:rsid w:val="009C28EF"/>
    <w:rsid w:val="009C388B"/>
    <w:rsid w:val="009C3A4A"/>
    <w:rsid w:val="009C5B9C"/>
    <w:rsid w:val="009C6009"/>
    <w:rsid w:val="009D004B"/>
    <w:rsid w:val="009D3340"/>
    <w:rsid w:val="009E377C"/>
    <w:rsid w:val="009E43CD"/>
    <w:rsid w:val="009F1A0B"/>
    <w:rsid w:val="009F27A2"/>
    <w:rsid w:val="009F2BE4"/>
    <w:rsid w:val="009F3067"/>
    <w:rsid w:val="00A059FC"/>
    <w:rsid w:val="00A11211"/>
    <w:rsid w:val="00A15728"/>
    <w:rsid w:val="00A22739"/>
    <w:rsid w:val="00A23795"/>
    <w:rsid w:val="00A24BB9"/>
    <w:rsid w:val="00A26F50"/>
    <w:rsid w:val="00A2775E"/>
    <w:rsid w:val="00A30CBD"/>
    <w:rsid w:val="00A341AF"/>
    <w:rsid w:val="00A42BEC"/>
    <w:rsid w:val="00A461AC"/>
    <w:rsid w:val="00A575C5"/>
    <w:rsid w:val="00A61FE4"/>
    <w:rsid w:val="00A65A51"/>
    <w:rsid w:val="00A82C53"/>
    <w:rsid w:val="00AA7EA3"/>
    <w:rsid w:val="00AB47BB"/>
    <w:rsid w:val="00AC161E"/>
    <w:rsid w:val="00AC6FF2"/>
    <w:rsid w:val="00AC7E9B"/>
    <w:rsid w:val="00AD49B3"/>
    <w:rsid w:val="00AE3BEA"/>
    <w:rsid w:val="00B0618D"/>
    <w:rsid w:val="00B17861"/>
    <w:rsid w:val="00B20710"/>
    <w:rsid w:val="00B24C7C"/>
    <w:rsid w:val="00B26022"/>
    <w:rsid w:val="00B2662E"/>
    <w:rsid w:val="00B30C69"/>
    <w:rsid w:val="00B32412"/>
    <w:rsid w:val="00B37BFC"/>
    <w:rsid w:val="00B455C5"/>
    <w:rsid w:val="00B46696"/>
    <w:rsid w:val="00B51927"/>
    <w:rsid w:val="00B72585"/>
    <w:rsid w:val="00B7351E"/>
    <w:rsid w:val="00B75E26"/>
    <w:rsid w:val="00B77F52"/>
    <w:rsid w:val="00B804BD"/>
    <w:rsid w:val="00B81740"/>
    <w:rsid w:val="00B8541D"/>
    <w:rsid w:val="00B85B51"/>
    <w:rsid w:val="00B8775F"/>
    <w:rsid w:val="00B91E7D"/>
    <w:rsid w:val="00B93D4F"/>
    <w:rsid w:val="00B95A54"/>
    <w:rsid w:val="00BA2685"/>
    <w:rsid w:val="00BA2C8D"/>
    <w:rsid w:val="00BA56DF"/>
    <w:rsid w:val="00BA6ECC"/>
    <w:rsid w:val="00BB1363"/>
    <w:rsid w:val="00BB2F16"/>
    <w:rsid w:val="00BC326D"/>
    <w:rsid w:val="00BC3C7C"/>
    <w:rsid w:val="00BD0257"/>
    <w:rsid w:val="00BD26CC"/>
    <w:rsid w:val="00BD70A9"/>
    <w:rsid w:val="00BE4879"/>
    <w:rsid w:val="00BE7A2C"/>
    <w:rsid w:val="00BE7FBE"/>
    <w:rsid w:val="00C20F2B"/>
    <w:rsid w:val="00C31655"/>
    <w:rsid w:val="00C32AC4"/>
    <w:rsid w:val="00C3347E"/>
    <w:rsid w:val="00C346EB"/>
    <w:rsid w:val="00C44DE3"/>
    <w:rsid w:val="00C63629"/>
    <w:rsid w:val="00C654F4"/>
    <w:rsid w:val="00C6591D"/>
    <w:rsid w:val="00C769F5"/>
    <w:rsid w:val="00C84B5C"/>
    <w:rsid w:val="00C928F6"/>
    <w:rsid w:val="00C95ED3"/>
    <w:rsid w:val="00C962BB"/>
    <w:rsid w:val="00CA0509"/>
    <w:rsid w:val="00CA08E2"/>
    <w:rsid w:val="00CA1B31"/>
    <w:rsid w:val="00CB01E3"/>
    <w:rsid w:val="00CB2E97"/>
    <w:rsid w:val="00CB39C6"/>
    <w:rsid w:val="00CB548C"/>
    <w:rsid w:val="00CC05CC"/>
    <w:rsid w:val="00CD41B0"/>
    <w:rsid w:val="00CD5545"/>
    <w:rsid w:val="00CE07ED"/>
    <w:rsid w:val="00CE3F8A"/>
    <w:rsid w:val="00CF18B3"/>
    <w:rsid w:val="00CF1C87"/>
    <w:rsid w:val="00CF1F34"/>
    <w:rsid w:val="00CF270F"/>
    <w:rsid w:val="00CF367C"/>
    <w:rsid w:val="00D070DD"/>
    <w:rsid w:val="00D128DD"/>
    <w:rsid w:val="00D263C5"/>
    <w:rsid w:val="00D27834"/>
    <w:rsid w:val="00D3791D"/>
    <w:rsid w:val="00D416A3"/>
    <w:rsid w:val="00D4698E"/>
    <w:rsid w:val="00D513B3"/>
    <w:rsid w:val="00D522CD"/>
    <w:rsid w:val="00D60C2C"/>
    <w:rsid w:val="00D631C1"/>
    <w:rsid w:val="00D75AE4"/>
    <w:rsid w:val="00D827A7"/>
    <w:rsid w:val="00D84A3E"/>
    <w:rsid w:val="00D933A8"/>
    <w:rsid w:val="00D93E22"/>
    <w:rsid w:val="00D941BC"/>
    <w:rsid w:val="00DA0C54"/>
    <w:rsid w:val="00DA5C97"/>
    <w:rsid w:val="00DA7968"/>
    <w:rsid w:val="00DC0CCF"/>
    <w:rsid w:val="00DC0D55"/>
    <w:rsid w:val="00DC3E1B"/>
    <w:rsid w:val="00DD0A98"/>
    <w:rsid w:val="00DD545E"/>
    <w:rsid w:val="00DE4D97"/>
    <w:rsid w:val="00DE6A38"/>
    <w:rsid w:val="00DF123C"/>
    <w:rsid w:val="00DF5BD5"/>
    <w:rsid w:val="00E005BF"/>
    <w:rsid w:val="00E04ABF"/>
    <w:rsid w:val="00E11A86"/>
    <w:rsid w:val="00E14B72"/>
    <w:rsid w:val="00E21E64"/>
    <w:rsid w:val="00E4535A"/>
    <w:rsid w:val="00E559C6"/>
    <w:rsid w:val="00E57C26"/>
    <w:rsid w:val="00E630B1"/>
    <w:rsid w:val="00E674DE"/>
    <w:rsid w:val="00E82F54"/>
    <w:rsid w:val="00E932E7"/>
    <w:rsid w:val="00E9513F"/>
    <w:rsid w:val="00E9593A"/>
    <w:rsid w:val="00EA0BC3"/>
    <w:rsid w:val="00EA5579"/>
    <w:rsid w:val="00EA7E0F"/>
    <w:rsid w:val="00EB5034"/>
    <w:rsid w:val="00EB5251"/>
    <w:rsid w:val="00EB6620"/>
    <w:rsid w:val="00EC3353"/>
    <w:rsid w:val="00ED59B0"/>
    <w:rsid w:val="00EE1C0D"/>
    <w:rsid w:val="00EE4CD9"/>
    <w:rsid w:val="00EE5804"/>
    <w:rsid w:val="00EE6B61"/>
    <w:rsid w:val="00EF1556"/>
    <w:rsid w:val="00EF36FB"/>
    <w:rsid w:val="00F017D7"/>
    <w:rsid w:val="00F12DC3"/>
    <w:rsid w:val="00F1746F"/>
    <w:rsid w:val="00F17F2E"/>
    <w:rsid w:val="00F3309D"/>
    <w:rsid w:val="00F33D23"/>
    <w:rsid w:val="00F41723"/>
    <w:rsid w:val="00F67E15"/>
    <w:rsid w:val="00F82D3E"/>
    <w:rsid w:val="00F947D7"/>
    <w:rsid w:val="00F94E5E"/>
    <w:rsid w:val="00F966C1"/>
    <w:rsid w:val="00F96741"/>
    <w:rsid w:val="00FA0087"/>
    <w:rsid w:val="00FA05CB"/>
    <w:rsid w:val="00FA2375"/>
    <w:rsid w:val="00FA78CE"/>
    <w:rsid w:val="00FA7A96"/>
    <w:rsid w:val="00FB045F"/>
    <w:rsid w:val="00FB099C"/>
    <w:rsid w:val="00FB7BD9"/>
    <w:rsid w:val="00FE5094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index heading" w:semiHidden="1"/>
    <w:lsdException w:name="caption" w:uiPriority="0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 w:uiPriority="0"/>
    <w:lsdException w:name="index heading" w:semiHidden="1"/>
    <w:lsdException w:name="caption" w:uiPriority="0"/>
    <w:lsdException w:name="annotation reference" w:semiHidden="1" w:uiPriority="0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82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69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27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413">
          <w:marLeft w:val="80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749C-CD00-4A0B-AB83-C5C850DF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0</TotalTime>
  <Pages>3</Pages>
  <Words>711</Words>
  <Characters>4344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Louise Nordskov</cp:lastModifiedBy>
  <cp:revision>2</cp:revision>
  <cp:lastPrinted>2016-01-27T13:38:00Z</cp:lastPrinted>
  <dcterms:created xsi:type="dcterms:W3CDTF">2016-03-08T13:20:00Z</dcterms:created>
  <dcterms:modified xsi:type="dcterms:W3CDTF">2016-03-08T13:20:00Z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