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056C" w:rsidRPr="000A375E" w:rsidRDefault="002B056C" w:rsidP="00F2251E">
      <w:pPr>
        <w:pStyle w:val="Brdtekst"/>
        <w:jc w:val="both"/>
      </w:pPr>
    </w:p>
    <w:p w:rsidR="002B056C" w:rsidRPr="000A375E" w:rsidRDefault="00F95A55" w:rsidP="00BE5210">
      <w:pPr>
        <w:pStyle w:val="Brdtekst"/>
      </w:pP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3474720</wp:posOffset>
                </wp:positionH>
                <wp:positionV relativeFrom="paragraph">
                  <wp:posOffset>4445</wp:posOffset>
                </wp:positionV>
                <wp:extent cx="2386965" cy="1447800"/>
                <wp:effectExtent l="0" t="4445" r="0" b="0"/>
                <wp:wrapNone/>
                <wp:docPr id="3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6965" cy="14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056C" w:rsidRPr="000A375E" w:rsidRDefault="002B056C" w:rsidP="00CE43EC">
                            <w:pPr>
                              <w:tabs>
                                <w:tab w:val="left" w:pos="414"/>
                                <w:tab w:val="right" w:pos="3028"/>
                              </w:tabs>
                              <w:spacing w:after="120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="00B10BAF">
                              <w:rPr>
                                <w:b/>
                                <w:bCs/>
                              </w:rPr>
                              <w:t>NOTAT</w:t>
                            </w:r>
                          </w:p>
                          <w:p w:rsidR="002B056C" w:rsidRPr="00AE761A" w:rsidRDefault="002B056C" w:rsidP="00147B85">
                            <w:pPr>
                              <w:tabs>
                                <w:tab w:val="left" w:pos="414"/>
                                <w:tab w:val="right" w:pos="3028"/>
                              </w:tabs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Dato:</w:t>
                            </w:r>
                            <w:r w:rsidRPr="00AE761A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E45D0">
                              <w:rPr>
                                <w:sz w:val="20"/>
                                <w:szCs w:val="20"/>
                              </w:rPr>
                              <w:t>22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="00A37A7A">
                              <w:rPr>
                                <w:sz w:val="20"/>
                                <w:szCs w:val="20"/>
                              </w:rPr>
                              <w:t>januar 2015</w:t>
                            </w:r>
                          </w:p>
                          <w:p w:rsidR="002B056C" w:rsidRPr="00AE761A" w:rsidRDefault="002B056C" w:rsidP="00CE43EC">
                            <w:pPr>
                              <w:tabs>
                                <w:tab w:val="left" w:pos="414"/>
                                <w:tab w:val="right" w:pos="3028"/>
                              </w:tabs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AE761A">
                              <w:rPr>
                                <w:sz w:val="20"/>
                                <w:szCs w:val="20"/>
                              </w:rPr>
                              <w:tab/>
                              <w:t>Kontor: By/Land/Ejendomsdata</w:t>
                            </w:r>
                          </w:p>
                          <w:p w:rsidR="002B056C" w:rsidRPr="00AE761A" w:rsidRDefault="002B056C" w:rsidP="00CE43EC">
                            <w:pPr>
                              <w:tabs>
                                <w:tab w:val="left" w:pos="414"/>
                                <w:tab w:val="right" w:pos="3028"/>
                              </w:tabs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AE761A">
                              <w:rPr>
                                <w:sz w:val="20"/>
                                <w:szCs w:val="20"/>
                              </w:rPr>
                              <w:tab/>
                              <w:t>Sagsnr.:</w:t>
                            </w:r>
                            <w:r w:rsidRPr="00AE761A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2B056C" w:rsidRPr="00AE761A" w:rsidRDefault="002B056C" w:rsidP="00CE43EC">
                            <w:pPr>
                              <w:tabs>
                                <w:tab w:val="left" w:pos="414"/>
                                <w:tab w:val="right" w:pos="3028"/>
                              </w:tabs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AE761A">
                              <w:rPr>
                                <w:sz w:val="20"/>
                                <w:szCs w:val="20"/>
                              </w:rPr>
                              <w:tab/>
                              <w:t>Sagsbehandler: MLI</w:t>
                            </w:r>
                          </w:p>
                          <w:p w:rsidR="002B056C" w:rsidRPr="00AE761A" w:rsidRDefault="002B056C" w:rsidP="00CE43EC">
                            <w:pPr>
                              <w:tabs>
                                <w:tab w:val="left" w:pos="414"/>
                                <w:tab w:val="right" w:pos="3028"/>
                              </w:tabs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AE761A">
                              <w:rPr>
                                <w:sz w:val="20"/>
                                <w:szCs w:val="20"/>
                              </w:rPr>
                              <w:tab/>
                              <w:t>Dok id:</w:t>
                            </w:r>
                            <w:r w:rsidR="00A37A7A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margin-left:273.6pt;margin-top:.35pt;width:187.95pt;height:11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" stroked="f">
                <v:stroke dashstyle="1 1"/>
                <v:textbox>
                  <w:txbxContent>
                    <w:p w:rsidR="002B056C" w:rsidRPr="000A375E" w:rsidRDefault="002B056C" w:rsidP="00CE43EC">
                      <w:pPr>
                        <w:tabs>
                          <w:tab w:val="left" w:pos="414"/>
                          <w:tab w:val="right" w:pos="3028"/>
                        </w:tabs>
                        <w:spacing w:after="120"/>
                        <w:rPr>
                          <w:b/>
                          <w:bCs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 w:rsidR="00B10BAF">
                        <w:rPr>
                          <w:b/>
                          <w:bCs/>
                        </w:rPr>
                        <w:t>NOTAT</w:t>
                      </w:r>
                    </w:p>
                    <w:p w:rsidR="002B056C" w:rsidRPr="00AE761A" w:rsidRDefault="002B056C" w:rsidP="00147B85">
                      <w:pPr>
                        <w:tabs>
                          <w:tab w:val="left" w:pos="414"/>
                          <w:tab w:val="right" w:pos="3028"/>
                        </w:tabs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        </w:t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>Dato:</w:t>
                      </w:r>
                      <w:r w:rsidRPr="00AE761A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0E45D0">
                        <w:rPr>
                          <w:sz w:val="20"/>
                          <w:szCs w:val="20"/>
                        </w:rPr>
                        <w:t>22</w:t>
                      </w:r>
                      <w:r>
                        <w:rPr>
                          <w:sz w:val="20"/>
                          <w:szCs w:val="20"/>
                        </w:rPr>
                        <w:t xml:space="preserve">. </w:t>
                      </w:r>
                      <w:r w:rsidR="00A37A7A">
                        <w:rPr>
                          <w:sz w:val="20"/>
                          <w:szCs w:val="20"/>
                        </w:rPr>
                        <w:t>januar 2015</w:t>
                      </w:r>
                    </w:p>
                    <w:p w:rsidR="002B056C" w:rsidRPr="00AE761A" w:rsidRDefault="002B056C" w:rsidP="00CE43EC">
                      <w:pPr>
                        <w:tabs>
                          <w:tab w:val="left" w:pos="414"/>
                          <w:tab w:val="right" w:pos="3028"/>
                        </w:tabs>
                        <w:spacing w:after="0"/>
                        <w:rPr>
                          <w:sz w:val="20"/>
                          <w:szCs w:val="20"/>
                        </w:rPr>
                      </w:pPr>
                      <w:r w:rsidRPr="00AE761A">
                        <w:rPr>
                          <w:sz w:val="20"/>
                          <w:szCs w:val="20"/>
                        </w:rPr>
                        <w:tab/>
                        <w:t>Kontor: By/Land/Ejendomsdata</w:t>
                      </w:r>
                    </w:p>
                    <w:p w:rsidR="002B056C" w:rsidRPr="00AE761A" w:rsidRDefault="002B056C" w:rsidP="00CE43EC">
                      <w:pPr>
                        <w:tabs>
                          <w:tab w:val="left" w:pos="414"/>
                          <w:tab w:val="right" w:pos="3028"/>
                        </w:tabs>
                        <w:spacing w:after="0"/>
                        <w:rPr>
                          <w:sz w:val="20"/>
                          <w:szCs w:val="20"/>
                        </w:rPr>
                      </w:pPr>
                      <w:r w:rsidRPr="00AE761A">
                        <w:rPr>
                          <w:sz w:val="20"/>
                          <w:szCs w:val="20"/>
                        </w:rPr>
                        <w:tab/>
                        <w:t>Sagsnr.:</w:t>
                      </w:r>
                      <w:r w:rsidRPr="00AE761A">
                        <w:rPr>
                          <w:sz w:val="20"/>
                          <w:szCs w:val="20"/>
                        </w:rPr>
                        <w:tab/>
                      </w:r>
                    </w:p>
                    <w:p w:rsidR="002B056C" w:rsidRPr="00AE761A" w:rsidRDefault="002B056C" w:rsidP="00CE43EC">
                      <w:pPr>
                        <w:tabs>
                          <w:tab w:val="left" w:pos="414"/>
                          <w:tab w:val="right" w:pos="3028"/>
                        </w:tabs>
                        <w:spacing w:after="0"/>
                        <w:rPr>
                          <w:sz w:val="20"/>
                          <w:szCs w:val="20"/>
                        </w:rPr>
                      </w:pPr>
                      <w:r w:rsidRPr="00AE761A">
                        <w:rPr>
                          <w:sz w:val="20"/>
                          <w:szCs w:val="20"/>
                        </w:rPr>
                        <w:tab/>
                        <w:t>Sagsbehandler: MLI</w:t>
                      </w:r>
                    </w:p>
                    <w:p w:rsidR="002B056C" w:rsidRPr="00AE761A" w:rsidRDefault="002B056C" w:rsidP="00CE43EC">
                      <w:pPr>
                        <w:tabs>
                          <w:tab w:val="left" w:pos="414"/>
                          <w:tab w:val="right" w:pos="3028"/>
                        </w:tabs>
                        <w:spacing w:after="0"/>
                        <w:rPr>
                          <w:sz w:val="20"/>
                          <w:szCs w:val="20"/>
                        </w:rPr>
                      </w:pPr>
                      <w:r w:rsidRPr="00AE761A">
                        <w:rPr>
                          <w:sz w:val="20"/>
                          <w:szCs w:val="20"/>
                        </w:rPr>
                        <w:tab/>
                        <w:t>Dok id:</w:t>
                      </w:r>
                      <w:r w:rsidR="00A37A7A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2B056C" w:rsidRPr="000A375E">
        <w:tab/>
      </w:r>
    </w:p>
    <w:p w:rsidR="002B056C" w:rsidRPr="000A375E" w:rsidRDefault="002B056C" w:rsidP="00BE5210">
      <w:pPr>
        <w:pStyle w:val="Brdtekst"/>
      </w:pPr>
      <w:r w:rsidRPr="000A375E">
        <w:tab/>
      </w:r>
      <w:r w:rsidRPr="000A375E">
        <w:tab/>
      </w:r>
      <w:r w:rsidRPr="000A375E">
        <w:tab/>
      </w:r>
    </w:p>
    <w:p w:rsidR="002B056C" w:rsidRPr="000A375E" w:rsidRDefault="002B056C" w:rsidP="00BE5210">
      <w:pPr>
        <w:pStyle w:val="Brdtekst"/>
      </w:pPr>
    </w:p>
    <w:p w:rsidR="002B056C" w:rsidRPr="000A375E" w:rsidRDefault="002B056C" w:rsidP="00BE5210">
      <w:pPr>
        <w:pStyle w:val="Brdtekst"/>
      </w:pPr>
    </w:p>
    <w:p w:rsidR="002B056C" w:rsidRPr="000A375E" w:rsidRDefault="002B056C" w:rsidP="00BE5210">
      <w:pPr>
        <w:pStyle w:val="Brdtekst"/>
      </w:pPr>
    </w:p>
    <w:p w:rsidR="002B056C" w:rsidRDefault="002B056C" w:rsidP="00BE5210">
      <w:pPr>
        <w:pStyle w:val="Brdtekst"/>
      </w:pPr>
    </w:p>
    <w:p w:rsidR="000E45D0" w:rsidRDefault="000E45D0" w:rsidP="00BE5210">
      <w:pPr>
        <w:pStyle w:val="Brdtekst"/>
      </w:pPr>
    </w:p>
    <w:p w:rsidR="002B056C" w:rsidRPr="00922963" w:rsidRDefault="00007560" w:rsidP="00922963">
      <w:pPr>
        <w:pStyle w:val="Titel"/>
      </w:pPr>
      <w:r>
        <w:t xml:space="preserve">Orientering om </w:t>
      </w:r>
      <w:r w:rsidR="00F85208">
        <w:t>GD2</w:t>
      </w:r>
      <w:r w:rsidR="00C55BC4">
        <w:t xml:space="preserve"> –</w:t>
      </w:r>
      <w:r w:rsidR="00F85208">
        <w:t xml:space="preserve"> </w:t>
      </w:r>
      <w:r w:rsidR="00A37A7A">
        <w:t>Adresseprogrammet</w:t>
      </w:r>
      <w:r w:rsidR="00C55BC4">
        <w:t>s</w:t>
      </w:r>
      <w:r w:rsidR="00A37A7A">
        <w:t xml:space="preserve"> </w:t>
      </w:r>
      <w:r w:rsidR="00C55BC4">
        <w:t>resultater 2013-2014</w:t>
      </w:r>
    </w:p>
    <w:p w:rsidR="002B056C" w:rsidRPr="002D42A8" w:rsidRDefault="00C55BC4" w:rsidP="002D42A8">
      <w:pPr>
        <w:pStyle w:val="Overskrift1"/>
      </w:pPr>
      <w:r>
        <w:t>Baggrund</w:t>
      </w:r>
    </w:p>
    <w:p w:rsidR="00A37A7A" w:rsidRPr="00A37A7A" w:rsidRDefault="00C55BC4" w:rsidP="00A37A7A">
      <w:pPr>
        <w:pStyle w:val="Brdtekst"/>
        <w:tabs>
          <w:tab w:val="left" w:pos="1680"/>
        </w:tabs>
      </w:pPr>
      <w:r>
        <w:t>GD2 – Adresseprogrammet har været i gang i to år</w:t>
      </w:r>
      <w:r w:rsidR="002D462C">
        <w:t xml:space="preserve"> og har </w:t>
      </w:r>
      <w:r w:rsidR="00AA1844">
        <w:t xml:space="preserve">efter planen </w:t>
      </w:r>
      <w:r w:rsidR="002D462C">
        <w:t xml:space="preserve">to års arbejde foran sig. </w:t>
      </w:r>
      <w:r w:rsidR="00AA1844">
        <w:t>I denne ”midtvejsposition</w:t>
      </w:r>
      <w:r w:rsidR="002D462C">
        <w:t xml:space="preserve">” </w:t>
      </w:r>
      <w:r w:rsidR="00AA1844">
        <w:t xml:space="preserve">er det </w:t>
      </w:r>
      <w:r w:rsidR="002D462C">
        <w:t>naturligt at give et overblik over de varige resul</w:t>
      </w:r>
      <w:r w:rsidR="002D462C">
        <w:softHyphen/>
        <w:t>tater, som programmet foreløbig har leveret.</w:t>
      </w:r>
      <w:r w:rsidR="00A37A7A" w:rsidRPr="00A37A7A">
        <w:t xml:space="preserve"> </w:t>
      </w:r>
    </w:p>
    <w:p w:rsidR="002B056C" w:rsidRDefault="002D462C" w:rsidP="00D61FE2">
      <w:pPr>
        <w:pStyle w:val="Overskrift1"/>
      </w:pPr>
      <w:r>
        <w:t xml:space="preserve">Resultater </w:t>
      </w:r>
    </w:p>
    <w:p w:rsidR="002D462C" w:rsidRDefault="002D462C" w:rsidP="002D462C">
      <w:pPr>
        <w:pStyle w:val="Overskrift2"/>
      </w:pPr>
      <w:r>
        <w:t>1. DAGI – Danmarks Administrative, Geografiske Grundlag</w:t>
      </w:r>
    </w:p>
    <w:p w:rsidR="002D462C" w:rsidRDefault="00764188" w:rsidP="002D462C">
      <w:pPr>
        <w:rPr>
          <w:lang w:eastAsia="ja-JP"/>
        </w:rPr>
      </w:pPr>
      <w:r>
        <w:rPr>
          <w:lang w:eastAsia="ja-JP"/>
        </w:rPr>
        <w:t>Geodatastyrelsen (</w:t>
      </w:r>
      <w:r w:rsidR="002D462C">
        <w:rPr>
          <w:lang w:eastAsia="ja-JP"/>
        </w:rPr>
        <w:t>GST</w:t>
      </w:r>
      <w:r>
        <w:rPr>
          <w:lang w:eastAsia="ja-JP"/>
        </w:rPr>
        <w:t>)</w:t>
      </w:r>
      <w:r w:rsidR="002D462C">
        <w:rPr>
          <w:lang w:eastAsia="ja-JP"/>
        </w:rPr>
        <w:t xml:space="preserve"> har etableret DAGI</w:t>
      </w:r>
      <w:r w:rsidR="00511F1E">
        <w:rPr>
          <w:lang w:eastAsia="ja-JP"/>
        </w:rPr>
        <w:t>SYS</w:t>
      </w:r>
      <w:r w:rsidR="002D462C">
        <w:rPr>
          <w:lang w:eastAsia="ja-JP"/>
        </w:rPr>
        <w:t>, der er et moderne produktionssystem til lagring og vedlige</w:t>
      </w:r>
      <w:r w:rsidR="002D462C">
        <w:rPr>
          <w:lang w:eastAsia="ja-JP"/>
        </w:rPr>
        <w:softHyphen/>
        <w:t>hol</w:t>
      </w:r>
      <w:r w:rsidR="002D462C">
        <w:rPr>
          <w:lang w:eastAsia="ja-JP"/>
        </w:rPr>
        <w:softHyphen/>
        <w:t>del</w:t>
      </w:r>
      <w:r w:rsidR="002D462C">
        <w:rPr>
          <w:lang w:eastAsia="ja-JP"/>
        </w:rPr>
        <w:softHyphen/>
        <w:t>se af de autoritative grunddata om Danmarks administrative ind</w:t>
      </w:r>
      <w:r>
        <w:rPr>
          <w:lang w:eastAsia="ja-JP"/>
        </w:rPr>
        <w:softHyphen/>
      </w:r>
      <w:r w:rsidR="002D462C">
        <w:rPr>
          <w:lang w:eastAsia="ja-JP"/>
        </w:rPr>
        <w:t>delinger. Systemets datamodel følger Grunddataprogrammets ”</w:t>
      </w:r>
      <w:r w:rsidR="007C4A3D">
        <w:rPr>
          <w:lang w:eastAsia="ja-JP"/>
        </w:rPr>
        <w:t>M</w:t>
      </w:r>
      <w:r w:rsidR="002D462C">
        <w:rPr>
          <w:lang w:eastAsia="ja-JP"/>
        </w:rPr>
        <w:t xml:space="preserve">odelregler for Grunddata”. </w:t>
      </w:r>
    </w:p>
    <w:p w:rsidR="007C4A3D" w:rsidRDefault="00511F1E" w:rsidP="002D462C">
      <w:pPr>
        <w:rPr>
          <w:lang w:eastAsia="ja-JP"/>
        </w:rPr>
      </w:pPr>
      <w:r>
        <w:rPr>
          <w:lang w:eastAsia="ja-JP"/>
        </w:rPr>
        <w:t xml:space="preserve">De eksisterende </w:t>
      </w:r>
      <w:r w:rsidR="007C4A3D">
        <w:rPr>
          <w:lang w:eastAsia="ja-JP"/>
        </w:rPr>
        <w:t xml:space="preserve">syv </w:t>
      </w:r>
      <w:r w:rsidR="002D462C">
        <w:rPr>
          <w:lang w:eastAsia="ja-JP"/>
        </w:rPr>
        <w:t>administrative temaer: Sogne, kom</w:t>
      </w:r>
      <w:r w:rsidR="007C4A3D">
        <w:rPr>
          <w:lang w:eastAsia="ja-JP"/>
        </w:rPr>
        <w:softHyphen/>
      </w:r>
      <w:r w:rsidR="002D462C">
        <w:rPr>
          <w:lang w:eastAsia="ja-JP"/>
        </w:rPr>
        <w:t>muner, regioner, retskredse, politi</w:t>
      </w:r>
      <w:r>
        <w:rPr>
          <w:lang w:eastAsia="ja-JP"/>
        </w:rPr>
        <w:softHyphen/>
      </w:r>
      <w:r w:rsidR="002D462C">
        <w:rPr>
          <w:lang w:eastAsia="ja-JP"/>
        </w:rPr>
        <w:t>kredse</w:t>
      </w:r>
      <w:r>
        <w:rPr>
          <w:lang w:eastAsia="ja-JP"/>
        </w:rPr>
        <w:t>, opstillingskredse</w:t>
      </w:r>
      <w:r w:rsidR="007C4A3D">
        <w:rPr>
          <w:lang w:eastAsia="ja-JP"/>
        </w:rPr>
        <w:t xml:space="preserve"> og postnumre</w:t>
      </w:r>
      <w:r>
        <w:rPr>
          <w:lang w:eastAsia="ja-JP"/>
        </w:rPr>
        <w:t>, vedligeholdes nu i DAGISYS</w:t>
      </w:r>
      <w:r w:rsidR="007C4A3D">
        <w:rPr>
          <w:lang w:eastAsia="ja-JP"/>
        </w:rPr>
        <w:t xml:space="preserve">. </w:t>
      </w:r>
      <w:r w:rsidR="005802ED">
        <w:rPr>
          <w:lang w:eastAsia="ja-JP"/>
        </w:rPr>
        <w:t xml:space="preserve">Gadepostnumre er etableret som et nyt DAGI-tema og der er </w:t>
      </w:r>
      <w:r w:rsidR="007C4A3D">
        <w:rPr>
          <w:lang w:eastAsia="ja-JP"/>
        </w:rPr>
        <w:t>etableret prototyper for temaerne afstemnings</w:t>
      </w:r>
      <w:r w:rsidR="005802ED">
        <w:rPr>
          <w:lang w:eastAsia="ja-JP"/>
        </w:rPr>
        <w:softHyphen/>
      </w:r>
      <w:r w:rsidR="007C4A3D">
        <w:rPr>
          <w:lang w:eastAsia="ja-JP"/>
        </w:rPr>
        <w:t xml:space="preserve">områder og supplerende bynavne. </w:t>
      </w:r>
    </w:p>
    <w:p w:rsidR="002D462C" w:rsidRPr="002D462C" w:rsidRDefault="003055C3" w:rsidP="002D462C">
      <w:pPr>
        <w:rPr>
          <w:lang w:eastAsia="ja-JP"/>
        </w:rPr>
      </w:pPr>
      <w:r>
        <w:rPr>
          <w:lang w:eastAsia="ja-JP"/>
        </w:rPr>
        <w:t>D</w:t>
      </w:r>
      <w:r w:rsidR="005802ED">
        <w:rPr>
          <w:lang w:eastAsia="ja-JP"/>
        </w:rPr>
        <w:t>GI-d</w:t>
      </w:r>
      <w:r>
        <w:rPr>
          <w:lang w:eastAsia="ja-JP"/>
        </w:rPr>
        <w:t>ata udstilles pt. gennem GST’s Kortforsyning</w:t>
      </w:r>
      <w:r w:rsidR="005802ED">
        <w:rPr>
          <w:lang w:eastAsia="ja-JP"/>
        </w:rPr>
        <w:t xml:space="preserve"> i gammel og ny datamodel</w:t>
      </w:r>
      <w:r>
        <w:rPr>
          <w:lang w:eastAsia="ja-JP"/>
        </w:rPr>
        <w:t xml:space="preserve">. </w:t>
      </w:r>
      <w:r w:rsidR="00C2030A">
        <w:rPr>
          <w:lang w:eastAsia="ja-JP"/>
        </w:rPr>
        <w:t>Parallelt hermed er f</w:t>
      </w:r>
      <w:r w:rsidR="007C4A3D">
        <w:rPr>
          <w:lang w:eastAsia="ja-JP"/>
        </w:rPr>
        <w:t>ørste bølge af DAGI’s data og services ved at blive etableret på Datafordeleren</w:t>
      </w:r>
      <w:r w:rsidR="00C2030A">
        <w:rPr>
          <w:lang w:eastAsia="ja-JP"/>
        </w:rPr>
        <w:t>,</w:t>
      </w:r>
      <w:r w:rsidR="007C4A3D">
        <w:rPr>
          <w:lang w:eastAsia="ja-JP"/>
        </w:rPr>
        <w:t xml:space="preserve"> i forbin</w:t>
      </w:r>
      <w:r w:rsidR="007C4A3D">
        <w:rPr>
          <w:lang w:eastAsia="ja-JP"/>
        </w:rPr>
        <w:softHyphen/>
        <w:t>delse med den</w:t>
      </w:r>
      <w:r>
        <w:rPr>
          <w:lang w:eastAsia="ja-JP"/>
        </w:rPr>
        <w:t xml:space="preserve"> </w:t>
      </w:r>
      <w:r w:rsidR="007C4A3D">
        <w:rPr>
          <w:lang w:eastAsia="ja-JP"/>
        </w:rPr>
        <w:t>såkaldte referenceimple</w:t>
      </w:r>
      <w:r>
        <w:rPr>
          <w:lang w:eastAsia="ja-JP"/>
        </w:rPr>
        <w:softHyphen/>
      </w:r>
      <w:r w:rsidR="007C4A3D">
        <w:rPr>
          <w:lang w:eastAsia="ja-JP"/>
        </w:rPr>
        <w:t>mente</w:t>
      </w:r>
      <w:r>
        <w:rPr>
          <w:lang w:eastAsia="ja-JP"/>
        </w:rPr>
        <w:softHyphen/>
      </w:r>
      <w:r w:rsidR="007C4A3D">
        <w:rPr>
          <w:lang w:eastAsia="ja-JP"/>
        </w:rPr>
        <w:t xml:space="preserve">ring. </w:t>
      </w:r>
    </w:p>
    <w:p w:rsidR="007C4A3D" w:rsidRDefault="007C4A3D" w:rsidP="007C4A3D">
      <w:pPr>
        <w:pStyle w:val="Overskrift2"/>
      </w:pPr>
      <w:r>
        <w:t>2. DS – Danske Stednavne</w:t>
      </w:r>
    </w:p>
    <w:p w:rsidR="003055C3" w:rsidRDefault="00727A96" w:rsidP="003055C3">
      <w:pPr>
        <w:rPr>
          <w:color w:val="000000"/>
        </w:rPr>
      </w:pPr>
      <w:r>
        <w:rPr>
          <w:color w:val="000000"/>
        </w:rPr>
        <w:t xml:space="preserve">GST har </w:t>
      </w:r>
      <w:r w:rsidR="007C4A3D">
        <w:rPr>
          <w:color w:val="000000"/>
        </w:rPr>
        <w:t>etableret DS</w:t>
      </w:r>
      <w:r w:rsidR="005802ED">
        <w:rPr>
          <w:color w:val="000000"/>
        </w:rPr>
        <w:t>SYS</w:t>
      </w:r>
      <w:r w:rsidR="007C4A3D">
        <w:rPr>
          <w:color w:val="000000"/>
        </w:rPr>
        <w:t>, der er et moderne it-system til lagring og ve</w:t>
      </w:r>
      <w:r w:rsidR="00124C08">
        <w:rPr>
          <w:color w:val="000000"/>
        </w:rPr>
        <w:t>dligeholdelse af Danmarks ca. 15</w:t>
      </w:r>
      <w:r w:rsidR="007C4A3D">
        <w:rPr>
          <w:color w:val="000000"/>
        </w:rPr>
        <w:t xml:space="preserve">0.000 stednavne. </w:t>
      </w:r>
      <w:r w:rsidR="003055C3">
        <w:rPr>
          <w:color w:val="000000"/>
        </w:rPr>
        <w:t xml:space="preserve">Systemets datamodel følger modelreglerne. </w:t>
      </w:r>
    </w:p>
    <w:p w:rsidR="003864EA" w:rsidRDefault="007C4A3D" w:rsidP="00D45F8D">
      <w:pPr>
        <w:rPr>
          <w:color w:val="000000"/>
        </w:rPr>
      </w:pPr>
      <w:r>
        <w:rPr>
          <w:color w:val="000000"/>
        </w:rPr>
        <w:t xml:space="preserve">Systemet har snitflader </w:t>
      </w:r>
      <w:r w:rsidR="00764188">
        <w:rPr>
          <w:color w:val="000000"/>
        </w:rPr>
        <w:t>som</w:t>
      </w:r>
      <w:r>
        <w:rPr>
          <w:color w:val="000000"/>
        </w:rPr>
        <w:t xml:space="preserve"> betyder</w:t>
      </w:r>
      <w:r w:rsidR="00764188">
        <w:rPr>
          <w:color w:val="000000"/>
        </w:rPr>
        <w:t>,</w:t>
      </w:r>
      <w:r>
        <w:rPr>
          <w:color w:val="000000"/>
        </w:rPr>
        <w:t xml:space="preserve"> at eksterne parter</w:t>
      </w:r>
      <w:r w:rsidR="00764188">
        <w:rPr>
          <w:color w:val="000000"/>
        </w:rPr>
        <w:t>,</w:t>
      </w:r>
      <w:r>
        <w:rPr>
          <w:color w:val="000000"/>
        </w:rPr>
        <w:t xml:space="preserve"> som fx 112, Rejseplanen og Natur</w:t>
      </w:r>
      <w:r w:rsidR="00764188">
        <w:rPr>
          <w:color w:val="000000"/>
        </w:rPr>
        <w:softHyphen/>
      </w:r>
      <w:r>
        <w:rPr>
          <w:color w:val="000000"/>
        </w:rPr>
        <w:t>styrelsen</w:t>
      </w:r>
      <w:r w:rsidR="00764188">
        <w:rPr>
          <w:color w:val="000000"/>
        </w:rPr>
        <w:t>,</w:t>
      </w:r>
      <w:r>
        <w:rPr>
          <w:color w:val="000000"/>
        </w:rPr>
        <w:t xml:space="preserve"> vil kunne indmelde nye stednavne. </w:t>
      </w:r>
      <w:r w:rsidR="00764188">
        <w:rPr>
          <w:color w:val="000000"/>
        </w:rPr>
        <w:t>Ca. 10.000 bygnings- og gårdnavne fra CPR-systemet er overført til det nye stednavnesystem. DS</w:t>
      </w:r>
      <w:r w:rsidR="005802ED">
        <w:rPr>
          <w:color w:val="000000"/>
        </w:rPr>
        <w:t>SYS</w:t>
      </w:r>
      <w:r w:rsidR="003055C3">
        <w:rPr>
          <w:color w:val="000000"/>
        </w:rPr>
        <w:t xml:space="preserve"> er pt. i pilotdrift</w:t>
      </w:r>
      <w:r w:rsidR="00DC6642">
        <w:rPr>
          <w:color w:val="000000"/>
        </w:rPr>
        <w:t xml:space="preserve"> og </w:t>
      </w:r>
      <w:r w:rsidR="00124C08">
        <w:rPr>
          <w:color w:val="000000"/>
        </w:rPr>
        <w:t xml:space="preserve">er planlagt i </w:t>
      </w:r>
      <w:r w:rsidR="00764188">
        <w:rPr>
          <w:color w:val="000000"/>
        </w:rPr>
        <w:t xml:space="preserve">fuld </w:t>
      </w:r>
      <w:r w:rsidR="00124C08">
        <w:rPr>
          <w:color w:val="000000"/>
        </w:rPr>
        <w:t xml:space="preserve">drift </w:t>
      </w:r>
      <w:r w:rsidR="00764188">
        <w:rPr>
          <w:color w:val="000000"/>
        </w:rPr>
        <w:t xml:space="preserve">med et stigende dataindhold </w:t>
      </w:r>
      <w:r w:rsidR="00124C08">
        <w:rPr>
          <w:color w:val="000000"/>
        </w:rPr>
        <w:t>i april 2015</w:t>
      </w:r>
      <w:r w:rsidR="003055C3">
        <w:rPr>
          <w:color w:val="000000"/>
        </w:rPr>
        <w:t>.</w:t>
      </w:r>
    </w:p>
    <w:p w:rsidR="003864EA" w:rsidRPr="003864EA" w:rsidRDefault="003864EA" w:rsidP="003864EA">
      <w:pPr>
        <w:pStyle w:val="Overskrift2"/>
      </w:pPr>
      <w:r w:rsidRPr="003864EA">
        <w:lastRenderedPageBreak/>
        <w:t>3. DAR – Danmarks Adresseregister</w:t>
      </w:r>
    </w:p>
    <w:p w:rsidR="002732A8" w:rsidRDefault="00764188" w:rsidP="00D45F8D">
      <w:pPr>
        <w:rPr>
          <w:color w:val="000000"/>
        </w:rPr>
      </w:pPr>
      <w:r>
        <w:rPr>
          <w:color w:val="000000"/>
        </w:rPr>
        <w:t>Ministeriet for By, Bolig og Landdistrikter (</w:t>
      </w:r>
      <w:r w:rsidR="00B10BAF">
        <w:rPr>
          <w:color w:val="000000"/>
        </w:rPr>
        <w:t>MBBL</w:t>
      </w:r>
      <w:r>
        <w:rPr>
          <w:color w:val="000000"/>
        </w:rPr>
        <w:t>)</w:t>
      </w:r>
      <w:r w:rsidR="00B10BAF">
        <w:rPr>
          <w:color w:val="000000"/>
        </w:rPr>
        <w:t xml:space="preserve"> </w:t>
      </w:r>
      <w:r w:rsidR="007C089F">
        <w:rPr>
          <w:color w:val="000000"/>
        </w:rPr>
        <w:t>færdiggjorde i december 2013</w:t>
      </w:r>
      <w:r w:rsidR="00B10BAF">
        <w:rPr>
          <w:color w:val="000000"/>
        </w:rPr>
        <w:t xml:space="preserve"> løsnings</w:t>
      </w:r>
      <w:r w:rsidR="005802ED">
        <w:rPr>
          <w:color w:val="000000"/>
        </w:rPr>
        <w:softHyphen/>
      </w:r>
      <w:r w:rsidR="00B10BAF">
        <w:rPr>
          <w:color w:val="000000"/>
        </w:rPr>
        <w:t>arkitektur</w:t>
      </w:r>
      <w:r w:rsidR="007C089F">
        <w:rPr>
          <w:color w:val="000000"/>
        </w:rPr>
        <w:t>en</w:t>
      </w:r>
      <w:r w:rsidR="00B10BAF">
        <w:rPr>
          <w:color w:val="000000"/>
        </w:rPr>
        <w:t xml:space="preserve"> for</w:t>
      </w:r>
      <w:r w:rsidR="007C089F">
        <w:rPr>
          <w:color w:val="000000"/>
        </w:rPr>
        <w:t xml:space="preserve"> </w:t>
      </w:r>
      <w:r w:rsidR="00B10BAF">
        <w:rPr>
          <w:color w:val="000000"/>
        </w:rPr>
        <w:t xml:space="preserve">”Danmarks Adresseregister”, DAR. I løbet af 2014 har MBBL og Kombit udviklet </w:t>
      </w:r>
      <w:r w:rsidR="002732A8">
        <w:rPr>
          <w:color w:val="000000"/>
        </w:rPr>
        <w:t>værktøjer</w:t>
      </w:r>
      <w:r w:rsidR="005802ED">
        <w:rPr>
          <w:color w:val="000000"/>
        </w:rPr>
        <w:t>,</w:t>
      </w:r>
      <w:r w:rsidR="002732A8">
        <w:rPr>
          <w:color w:val="000000"/>
        </w:rPr>
        <w:t xml:space="preserve"> som skal støtte kommunernes registrering af adresser</w:t>
      </w:r>
      <w:r w:rsidR="007C089F">
        <w:rPr>
          <w:color w:val="000000"/>
        </w:rPr>
        <w:t xml:space="preserve"> i BBR</w:t>
      </w:r>
      <w:r w:rsidR="002732A8">
        <w:rPr>
          <w:color w:val="000000"/>
        </w:rPr>
        <w:t xml:space="preserve">, </w:t>
      </w:r>
      <w:r w:rsidR="00B10BAF">
        <w:rPr>
          <w:color w:val="000000"/>
        </w:rPr>
        <w:t xml:space="preserve">indtil DAR </w:t>
      </w:r>
      <w:r w:rsidR="007C089F">
        <w:rPr>
          <w:color w:val="000000"/>
        </w:rPr>
        <w:t xml:space="preserve">i 2016 </w:t>
      </w:r>
      <w:r w:rsidR="00B10BAF">
        <w:rPr>
          <w:color w:val="000000"/>
        </w:rPr>
        <w:t>kan idriftsættes</w:t>
      </w:r>
      <w:r w:rsidR="002732A8">
        <w:rPr>
          <w:color w:val="000000"/>
        </w:rPr>
        <w:t xml:space="preserve"> med tilhørende bruger</w:t>
      </w:r>
      <w:r w:rsidR="007C089F">
        <w:rPr>
          <w:color w:val="000000"/>
        </w:rPr>
        <w:softHyphen/>
      </w:r>
      <w:r w:rsidR="002732A8">
        <w:rPr>
          <w:color w:val="000000"/>
        </w:rPr>
        <w:t>appli</w:t>
      </w:r>
      <w:r w:rsidR="007C089F">
        <w:rPr>
          <w:color w:val="000000"/>
        </w:rPr>
        <w:softHyphen/>
      </w:r>
      <w:r w:rsidR="002732A8">
        <w:rPr>
          <w:color w:val="000000"/>
        </w:rPr>
        <w:t>kation.</w:t>
      </w:r>
    </w:p>
    <w:p w:rsidR="00AA1844" w:rsidRDefault="007C089F" w:rsidP="00D45F8D">
      <w:pPr>
        <w:rPr>
          <w:color w:val="000000"/>
        </w:rPr>
      </w:pPr>
      <w:r>
        <w:rPr>
          <w:color w:val="000000"/>
        </w:rPr>
        <w:t>”</w:t>
      </w:r>
      <w:r w:rsidR="00B10BAF">
        <w:rPr>
          <w:color w:val="000000"/>
        </w:rPr>
        <w:t>Adresseklient 0.9</w:t>
      </w:r>
      <w:r>
        <w:rPr>
          <w:color w:val="000000"/>
        </w:rPr>
        <w:t>”</w:t>
      </w:r>
      <w:r w:rsidR="002732A8">
        <w:rPr>
          <w:color w:val="000000"/>
        </w:rPr>
        <w:t xml:space="preserve"> er et kort- og web-baseret værktøj, medens </w:t>
      </w:r>
      <w:r>
        <w:rPr>
          <w:color w:val="000000"/>
        </w:rPr>
        <w:t>”</w:t>
      </w:r>
      <w:proofErr w:type="spellStart"/>
      <w:r w:rsidR="002732A8">
        <w:rPr>
          <w:color w:val="000000"/>
        </w:rPr>
        <w:t>AdresseLink</w:t>
      </w:r>
      <w:proofErr w:type="spellEnd"/>
      <w:r>
        <w:rPr>
          <w:color w:val="000000"/>
        </w:rPr>
        <w:t>”</w:t>
      </w:r>
      <w:r w:rsidR="002732A8">
        <w:rPr>
          <w:color w:val="000000"/>
        </w:rPr>
        <w:t xml:space="preserve"> er et desktop-GIS baseret værktøj. Efter kom</w:t>
      </w:r>
      <w:r w:rsidR="002732A8">
        <w:rPr>
          <w:color w:val="000000"/>
        </w:rPr>
        <w:softHyphen/>
        <w:t>mu</w:t>
      </w:r>
      <w:r w:rsidR="002732A8">
        <w:rPr>
          <w:color w:val="000000"/>
        </w:rPr>
        <w:softHyphen/>
        <w:t>nalt ønske har MBBL desuden udviklet ”AdresseBrug.dk, der giver adresse</w:t>
      </w:r>
      <w:r w:rsidR="002732A8">
        <w:rPr>
          <w:color w:val="000000"/>
        </w:rPr>
        <w:softHyphen/>
        <w:t>medarbejderen overblik over hvilke grunddataregistre, der anvender en bestemt adresse.</w:t>
      </w:r>
      <w:r>
        <w:rPr>
          <w:color w:val="000000"/>
        </w:rPr>
        <w:t xml:space="preserve"> </w:t>
      </w:r>
    </w:p>
    <w:p w:rsidR="00B10BAF" w:rsidRDefault="00B52971" w:rsidP="00D45F8D">
      <w:pPr>
        <w:rPr>
          <w:color w:val="000000"/>
        </w:rPr>
      </w:pPr>
      <w:r w:rsidRPr="00B52971">
        <w:rPr>
          <w:color w:val="000000"/>
        </w:rPr>
        <w:t>Værktøjerne har været forsinket, men er nu til rådighed for alle kommuner. Udover de to adresseværktøjer som stilles gratis til rådighed, kan komm</w:t>
      </w:r>
      <w:r>
        <w:rPr>
          <w:color w:val="000000"/>
        </w:rPr>
        <w:t>unerne fortsætte med de adresse</w:t>
      </w:r>
      <w:r>
        <w:rPr>
          <w:color w:val="000000"/>
        </w:rPr>
        <w:softHyphen/>
      </w:r>
      <w:r w:rsidRPr="00B52971">
        <w:rPr>
          <w:color w:val="000000"/>
        </w:rPr>
        <w:t>værktøjer som de plejer at bruge.</w:t>
      </w:r>
      <w:r>
        <w:rPr>
          <w:color w:val="000000"/>
        </w:rPr>
        <w:t xml:space="preserve"> </w:t>
      </w:r>
      <w:r w:rsidR="002732A8">
        <w:rPr>
          <w:color w:val="000000"/>
        </w:rPr>
        <w:t xml:space="preserve">Kombit og MBBL er pt. </w:t>
      </w:r>
      <w:r w:rsidR="00A81312">
        <w:rPr>
          <w:color w:val="000000"/>
        </w:rPr>
        <w:t xml:space="preserve">ved </w:t>
      </w:r>
      <w:r w:rsidR="00A94D88">
        <w:rPr>
          <w:color w:val="000000"/>
        </w:rPr>
        <w:t xml:space="preserve">at </w:t>
      </w:r>
      <w:r w:rsidR="00A81312">
        <w:rPr>
          <w:color w:val="000000"/>
        </w:rPr>
        <w:t>kravs</w:t>
      </w:r>
      <w:r w:rsidR="002732A8">
        <w:rPr>
          <w:color w:val="000000"/>
        </w:rPr>
        <w:t>pecifi</w:t>
      </w:r>
      <w:r w:rsidR="00AD19C6">
        <w:rPr>
          <w:color w:val="000000"/>
        </w:rPr>
        <w:t xml:space="preserve">cere </w:t>
      </w:r>
      <w:r w:rsidR="002732A8">
        <w:rPr>
          <w:color w:val="000000"/>
        </w:rPr>
        <w:t>DAR mhp. et snarligt udbud.</w:t>
      </w:r>
      <w:r w:rsidR="00A81312">
        <w:rPr>
          <w:color w:val="000000"/>
        </w:rPr>
        <w:t xml:space="preserve"> </w:t>
      </w:r>
    </w:p>
    <w:p w:rsidR="00B10BAF" w:rsidRDefault="00B10BAF" w:rsidP="007C089F">
      <w:pPr>
        <w:pStyle w:val="Overskrift2"/>
        <w:rPr>
          <w:b w:val="0"/>
          <w:bCs w:val="0"/>
        </w:rPr>
      </w:pPr>
      <w:r w:rsidRPr="007C089F">
        <w:t>4. AWS – Adressetjenester</w:t>
      </w:r>
    </w:p>
    <w:p w:rsidR="00495F47" w:rsidRDefault="007C089F" w:rsidP="007C089F">
      <w:pPr>
        <w:rPr>
          <w:lang w:eastAsia="ja-JP"/>
        </w:rPr>
      </w:pPr>
      <w:r>
        <w:rPr>
          <w:lang w:eastAsia="ja-JP"/>
        </w:rPr>
        <w:t xml:space="preserve">MBBL publicerede i juni 2014 </w:t>
      </w:r>
      <w:r w:rsidR="00495F47">
        <w:rPr>
          <w:lang w:eastAsia="ja-JP"/>
        </w:rPr>
        <w:t xml:space="preserve">AWS 4, der </w:t>
      </w:r>
      <w:r>
        <w:rPr>
          <w:lang w:eastAsia="ja-JP"/>
        </w:rPr>
        <w:t>en vifte af helt nye adressetjenester, som gør det nemt for løs</w:t>
      </w:r>
      <w:r>
        <w:rPr>
          <w:lang w:eastAsia="ja-JP"/>
        </w:rPr>
        <w:softHyphen/>
        <w:t>nings</w:t>
      </w:r>
      <w:r>
        <w:rPr>
          <w:lang w:eastAsia="ja-JP"/>
        </w:rPr>
        <w:softHyphen/>
        <w:t>udviklere at tilgå de nuværende adressedata uden betaling eller andre restriktioner.</w:t>
      </w:r>
      <w:r w:rsidR="00AB10A5">
        <w:rPr>
          <w:lang w:eastAsia="ja-JP"/>
        </w:rPr>
        <w:t xml:space="preserve"> </w:t>
      </w:r>
    </w:p>
    <w:p w:rsidR="00B10BAF" w:rsidRDefault="00495F47" w:rsidP="007C089F">
      <w:pPr>
        <w:rPr>
          <w:lang w:eastAsia="ja-JP"/>
        </w:rPr>
      </w:pPr>
      <w:r>
        <w:rPr>
          <w:lang w:eastAsia="ja-JP"/>
        </w:rPr>
        <w:t xml:space="preserve">AWS 4 suiten </w:t>
      </w:r>
      <w:r w:rsidR="00AB10A5">
        <w:rPr>
          <w:lang w:eastAsia="ja-JP"/>
        </w:rPr>
        <w:t xml:space="preserve">indeholder bl.a. </w:t>
      </w:r>
      <w:r>
        <w:rPr>
          <w:lang w:eastAsia="ja-JP"/>
        </w:rPr>
        <w:t>”DAWA”</w:t>
      </w:r>
      <w:r w:rsidR="007C089F">
        <w:rPr>
          <w:lang w:eastAsia="ja-JP"/>
        </w:rPr>
        <w:t xml:space="preserve">, </w:t>
      </w:r>
      <w:r>
        <w:rPr>
          <w:lang w:eastAsia="ja-JP"/>
        </w:rPr>
        <w:t xml:space="preserve">som er et web-API, hvormed man kan bygge </w:t>
      </w:r>
      <w:r w:rsidR="007C089F">
        <w:rPr>
          <w:lang w:eastAsia="ja-JP"/>
        </w:rPr>
        <w:t>adres</w:t>
      </w:r>
      <w:r w:rsidR="00AB10A5">
        <w:rPr>
          <w:lang w:eastAsia="ja-JP"/>
        </w:rPr>
        <w:softHyphen/>
      </w:r>
      <w:r w:rsidR="007C089F">
        <w:rPr>
          <w:lang w:eastAsia="ja-JP"/>
        </w:rPr>
        <w:t>se</w:t>
      </w:r>
      <w:r>
        <w:rPr>
          <w:lang w:eastAsia="ja-JP"/>
        </w:rPr>
        <w:softHyphen/>
      </w:r>
      <w:r w:rsidR="007C089F">
        <w:rPr>
          <w:lang w:eastAsia="ja-JP"/>
        </w:rPr>
        <w:t xml:space="preserve">funktionalitet </w:t>
      </w:r>
      <w:r>
        <w:rPr>
          <w:lang w:eastAsia="ja-JP"/>
        </w:rPr>
        <w:t>ind i et it-system, af ”AWS download” hvormed man kan hente og synkro</w:t>
      </w:r>
      <w:r w:rsidR="00AB10A5">
        <w:rPr>
          <w:lang w:eastAsia="ja-JP"/>
        </w:rPr>
        <w:softHyphen/>
      </w:r>
      <w:r>
        <w:rPr>
          <w:lang w:eastAsia="ja-JP"/>
        </w:rPr>
        <w:t>ni</w:t>
      </w:r>
      <w:r w:rsidR="00AB10A5">
        <w:rPr>
          <w:lang w:eastAsia="ja-JP"/>
        </w:rPr>
        <w:softHyphen/>
      </w:r>
      <w:r>
        <w:rPr>
          <w:lang w:eastAsia="ja-JP"/>
        </w:rPr>
        <w:t>sere lokale kopier af data, af ”AWS korttjenester” der gør det nemt at integrere tidstro adresser i en kort- eller GIS-applikation, af en ”</w:t>
      </w:r>
      <w:proofErr w:type="spellStart"/>
      <w:r>
        <w:rPr>
          <w:lang w:eastAsia="ja-JP"/>
        </w:rPr>
        <w:t>AutoComplete</w:t>
      </w:r>
      <w:proofErr w:type="spellEnd"/>
      <w:r>
        <w:rPr>
          <w:lang w:eastAsia="ja-JP"/>
        </w:rPr>
        <w:t xml:space="preserve">” der finder en adresse frem med få tastetryk.  </w:t>
      </w:r>
    </w:p>
    <w:p w:rsidR="00522910" w:rsidRDefault="00AB10A5" w:rsidP="007C089F">
      <w:pPr>
        <w:rPr>
          <w:lang w:eastAsia="ja-JP"/>
        </w:rPr>
      </w:pPr>
      <w:r>
        <w:rPr>
          <w:lang w:eastAsia="ja-JP"/>
        </w:rPr>
        <w:t>AWS 4 er baseret på aktuelle data, idet der kun går 2-3 minutter fra kommunens regi</w:t>
      </w:r>
      <w:r>
        <w:rPr>
          <w:lang w:eastAsia="ja-JP"/>
        </w:rPr>
        <w:softHyphen/>
        <w:t>stre</w:t>
      </w:r>
      <w:r>
        <w:rPr>
          <w:lang w:eastAsia="ja-JP"/>
        </w:rPr>
        <w:softHyphen/>
        <w:t xml:space="preserve">ring til adressen er i AWS. Tjenesterne er 24/7 overvåget og har </w:t>
      </w:r>
      <w:proofErr w:type="spellStart"/>
      <w:r>
        <w:rPr>
          <w:lang w:eastAsia="ja-JP"/>
        </w:rPr>
        <w:t>autoskalering</w:t>
      </w:r>
      <w:proofErr w:type="spellEnd"/>
      <w:r>
        <w:rPr>
          <w:lang w:eastAsia="ja-JP"/>
        </w:rPr>
        <w:t>, så drifts</w:t>
      </w:r>
      <w:r>
        <w:rPr>
          <w:lang w:eastAsia="ja-JP"/>
        </w:rPr>
        <w:softHyphen/>
        <w:t>miljøets ydelse skaleres op ved spids</w:t>
      </w:r>
      <w:r>
        <w:rPr>
          <w:lang w:eastAsia="ja-JP"/>
        </w:rPr>
        <w:softHyphen/>
        <w:t>belast</w:t>
      </w:r>
      <w:r>
        <w:rPr>
          <w:lang w:eastAsia="ja-JP"/>
        </w:rPr>
        <w:softHyphen/>
        <w:t xml:space="preserve">ninger. </w:t>
      </w:r>
      <w:r w:rsidR="00522910">
        <w:rPr>
          <w:lang w:eastAsia="ja-JP"/>
        </w:rPr>
        <w:t xml:space="preserve">AWS 4 anvendes pt. af &gt;100 it-systemer som foretager &gt;1 mio. </w:t>
      </w:r>
      <w:proofErr w:type="spellStart"/>
      <w:r w:rsidR="00522910">
        <w:rPr>
          <w:lang w:eastAsia="ja-JP"/>
        </w:rPr>
        <w:t>requests</w:t>
      </w:r>
      <w:proofErr w:type="spellEnd"/>
      <w:r w:rsidR="00522910">
        <w:rPr>
          <w:lang w:eastAsia="ja-JP"/>
        </w:rPr>
        <w:t>/uge.</w:t>
      </w:r>
      <w:r w:rsidR="00571013">
        <w:rPr>
          <w:lang w:eastAsia="ja-JP"/>
        </w:rPr>
        <w:t xml:space="preserve"> </w:t>
      </w:r>
      <w:r w:rsidR="00571013">
        <w:rPr>
          <w:lang w:eastAsia="ja-JP"/>
        </w:rPr>
        <w:t>Oppetiden er pt. målt til 99,97%.</w:t>
      </w:r>
    </w:p>
    <w:p w:rsidR="00AB10A5" w:rsidRPr="00B10BAF" w:rsidRDefault="00A81312" w:rsidP="007C089F">
      <w:pPr>
        <w:rPr>
          <w:lang w:eastAsia="ja-JP"/>
        </w:rPr>
      </w:pPr>
      <w:r>
        <w:rPr>
          <w:lang w:eastAsia="ja-JP"/>
        </w:rPr>
        <w:t>Næste version af adressetjenesterne (AWS 5) vil være baseret på adressedata fra det kom</w:t>
      </w:r>
      <w:r w:rsidR="00522910">
        <w:rPr>
          <w:lang w:eastAsia="ja-JP"/>
        </w:rPr>
        <w:softHyphen/>
      </w:r>
      <w:r>
        <w:rPr>
          <w:lang w:eastAsia="ja-JP"/>
        </w:rPr>
        <w:t xml:space="preserve">mende DAR og placeret på Datafordeleren. Kravene til AWS 5 </w:t>
      </w:r>
      <w:bookmarkStart w:id="0" w:name="_GoBack"/>
      <w:bookmarkEnd w:id="0"/>
      <w:r>
        <w:rPr>
          <w:lang w:eastAsia="ja-JP"/>
        </w:rPr>
        <w:t>er ved at blive fastlagt.</w:t>
      </w:r>
    </w:p>
    <w:p w:rsidR="00B10BAF" w:rsidRDefault="003864EA" w:rsidP="00522910">
      <w:pPr>
        <w:pStyle w:val="Overskrift2"/>
      </w:pPr>
      <w:r w:rsidRPr="00B10BAF">
        <w:t>5. Suppl</w:t>
      </w:r>
      <w:r w:rsidR="00B10BAF" w:rsidRPr="00B10BAF">
        <w:t>erende adresser</w:t>
      </w:r>
    </w:p>
    <w:p w:rsidR="00B10BAF" w:rsidRDefault="00A81312" w:rsidP="00A81312">
      <w:pPr>
        <w:rPr>
          <w:lang w:eastAsia="ja-JP"/>
        </w:rPr>
      </w:pPr>
      <w:r>
        <w:rPr>
          <w:lang w:eastAsia="ja-JP"/>
        </w:rPr>
        <w:t>MBBL har i 2013 etableret en ”Adresse taskforce”, som skal forberede og bistå kommunerne i den største enkeltopgave i adresseprogrammet: Fastsættelse af præcise adresser i områder og bebyggelser, hvor der i dag kun er få eller ingen adresser, fx kolonihaveområder, større erhvervsejendomme, butikscentre og sygehuse.</w:t>
      </w:r>
      <w:r w:rsidR="00D449FA">
        <w:rPr>
          <w:lang w:eastAsia="ja-JP"/>
        </w:rPr>
        <w:t xml:space="preserve"> </w:t>
      </w:r>
      <w:r>
        <w:rPr>
          <w:lang w:eastAsia="ja-JP"/>
        </w:rPr>
        <w:t xml:space="preserve">Taskforcen er bemandet af </w:t>
      </w:r>
      <w:r w:rsidR="00D449FA">
        <w:rPr>
          <w:lang w:eastAsia="ja-JP"/>
        </w:rPr>
        <w:t xml:space="preserve">tre </w:t>
      </w:r>
      <w:r>
        <w:rPr>
          <w:lang w:eastAsia="ja-JP"/>
        </w:rPr>
        <w:t>MBBL-medar</w:t>
      </w:r>
      <w:r w:rsidR="00D449FA">
        <w:rPr>
          <w:lang w:eastAsia="ja-JP"/>
        </w:rPr>
        <w:softHyphen/>
      </w:r>
      <w:r>
        <w:rPr>
          <w:lang w:eastAsia="ja-JP"/>
        </w:rPr>
        <w:t>bej</w:t>
      </w:r>
      <w:r w:rsidR="00D449FA">
        <w:rPr>
          <w:lang w:eastAsia="ja-JP"/>
        </w:rPr>
        <w:softHyphen/>
      </w:r>
      <w:r>
        <w:rPr>
          <w:lang w:eastAsia="ja-JP"/>
        </w:rPr>
        <w:t xml:space="preserve">dere, </w:t>
      </w:r>
      <w:r w:rsidR="00D449FA">
        <w:rPr>
          <w:lang w:eastAsia="ja-JP"/>
        </w:rPr>
        <w:t xml:space="preserve">tre </w:t>
      </w:r>
      <w:r w:rsidR="009A1610">
        <w:rPr>
          <w:lang w:eastAsia="ja-JP"/>
        </w:rPr>
        <w:t xml:space="preserve">indstationerede </w:t>
      </w:r>
      <w:r>
        <w:rPr>
          <w:lang w:eastAsia="ja-JP"/>
        </w:rPr>
        <w:t xml:space="preserve">kommunale </w:t>
      </w:r>
      <w:r w:rsidR="009A1610">
        <w:rPr>
          <w:lang w:eastAsia="ja-JP"/>
        </w:rPr>
        <w:t xml:space="preserve">medarbejdere </w:t>
      </w:r>
      <w:r>
        <w:rPr>
          <w:lang w:eastAsia="ja-JP"/>
        </w:rPr>
        <w:t xml:space="preserve">og en </w:t>
      </w:r>
      <w:r w:rsidR="009A1610">
        <w:rPr>
          <w:lang w:eastAsia="ja-JP"/>
        </w:rPr>
        <w:t>KL-medarbejder</w:t>
      </w:r>
      <w:r>
        <w:rPr>
          <w:lang w:eastAsia="ja-JP"/>
        </w:rPr>
        <w:t xml:space="preserve">. </w:t>
      </w:r>
    </w:p>
    <w:p w:rsidR="009A1610" w:rsidRDefault="009A1610" w:rsidP="00A81312">
      <w:pPr>
        <w:rPr>
          <w:lang w:eastAsia="ja-JP"/>
        </w:rPr>
      </w:pPr>
      <w:r>
        <w:rPr>
          <w:lang w:eastAsia="ja-JP"/>
        </w:rPr>
        <w:t>Taskforcen har</w:t>
      </w:r>
      <w:r w:rsidR="00D449FA">
        <w:rPr>
          <w:lang w:eastAsia="ja-JP"/>
        </w:rPr>
        <w:t xml:space="preserve">, bl.a. på baggrund af en række </w:t>
      </w:r>
      <w:r>
        <w:rPr>
          <w:lang w:eastAsia="ja-JP"/>
        </w:rPr>
        <w:t>pilotprojekter</w:t>
      </w:r>
      <w:r w:rsidR="00D449FA">
        <w:rPr>
          <w:lang w:eastAsia="ja-JP"/>
        </w:rPr>
        <w:t>, afgrænset og defineret opga</w:t>
      </w:r>
      <w:r w:rsidR="00A64484">
        <w:rPr>
          <w:lang w:eastAsia="ja-JP"/>
        </w:rPr>
        <w:softHyphen/>
      </w:r>
      <w:r w:rsidR="00D449FA">
        <w:rPr>
          <w:lang w:eastAsia="ja-JP"/>
        </w:rPr>
        <w:t xml:space="preserve">verne for kommunerne. Herefter har taskforcen </w:t>
      </w:r>
      <w:r w:rsidR="00A64484">
        <w:rPr>
          <w:lang w:eastAsia="ja-JP"/>
        </w:rPr>
        <w:t xml:space="preserve">i tre ”bølger” publiceret materiale som </w:t>
      </w:r>
      <w:r w:rsidR="00D449FA">
        <w:rPr>
          <w:lang w:eastAsia="ja-JP"/>
        </w:rPr>
        <w:t>konkret</w:t>
      </w:r>
      <w:r w:rsidR="00A64484">
        <w:rPr>
          <w:lang w:eastAsia="ja-JP"/>
        </w:rPr>
        <w:t xml:space="preserve"> udpege</w:t>
      </w:r>
      <w:r w:rsidR="00D449FA">
        <w:rPr>
          <w:lang w:eastAsia="ja-JP"/>
        </w:rPr>
        <w:t xml:space="preserve">r de områder eller ejendomme hvor </w:t>
      </w:r>
      <w:r w:rsidR="00A64484">
        <w:rPr>
          <w:lang w:eastAsia="ja-JP"/>
        </w:rPr>
        <w:t>hver kommune skal sætte ind. Som støtte til arbejdet har taskforcen udformet en ”værktøjskasse” til kommunerne med vejle</w:t>
      </w:r>
      <w:r w:rsidR="00522910">
        <w:rPr>
          <w:lang w:eastAsia="ja-JP"/>
        </w:rPr>
        <w:softHyphen/>
      </w:r>
      <w:r w:rsidR="00A64484">
        <w:rPr>
          <w:lang w:eastAsia="ja-JP"/>
        </w:rPr>
        <w:t>d</w:t>
      </w:r>
      <w:r w:rsidR="00522910">
        <w:rPr>
          <w:lang w:eastAsia="ja-JP"/>
        </w:rPr>
        <w:softHyphen/>
      </w:r>
      <w:r w:rsidR="00A64484">
        <w:rPr>
          <w:lang w:eastAsia="ja-JP"/>
        </w:rPr>
        <w:t>en</w:t>
      </w:r>
      <w:r w:rsidR="00522910">
        <w:rPr>
          <w:lang w:eastAsia="ja-JP"/>
        </w:rPr>
        <w:softHyphen/>
      </w:r>
      <w:r w:rsidR="00A64484">
        <w:rPr>
          <w:lang w:eastAsia="ja-JP"/>
        </w:rPr>
        <w:t>de ”kogebøger”, informationsskrivelser, brevskabeloner</w:t>
      </w:r>
      <w:r w:rsidR="00522910">
        <w:rPr>
          <w:lang w:eastAsia="ja-JP"/>
        </w:rPr>
        <w:t>, materiale til kommunernes hjemmesider</w:t>
      </w:r>
      <w:r w:rsidR="00A64484">
        <w:rPr>
          <w:lang w:eastAsia="ja-JP"/>
        </w:rPr>
        <w:t xml:space="preserve"> mv. </w:t>
      </w:r>
    </w:p>
    <w:p w:rsidR="00A64484" w:rsidRPr="00B10BAF" w:rsidRDefault="00A64484" w:rsidP="00A81312">
      <w:pPr>
        <w:rPr>
          <w:lang w:eastAsia="ja-JP"/>
        </w:rPr>
      </w:pPr>
      <w:r>
        <w:rPr>
          <w:lang w:eastAsia="ja-JP"/>
        </w:rPr>
        <w:lastRenderedPageBreak/>
        <w:t>Taskforcen rullede de tre bølger ud i maj, juni og oktober 2014, og kommunerne er nu i gang med suppleringsopgaven, hvorefter taskforcens arbejde har skiftet fokus mod konkret vejledning, afholdelse af workshops for kommuner og interessenter samt overvågning af fremdrift.</w:t>
      </w:r>
    </w:p>
    <w:p w:rsidR="00B10BAF" w:rsidRDefault="003864EA" w:rsidP="00522910">
      <w:pPr>
        <w:pStyle w:val="Overskrift2"/>
      </w:pPr>
      <w:r w:rsidRPr="00B10BAF">
        <w:t>6. Lovgivning og r</w:t>
      </w:r>
      <w:r w:rsidR="00C2030A" w:rsidRPr="00B10BAF">
        <w:t>e</w:t>
      </w:r>
      <w:r w:rsidR="00B10BAF" w:rsidRPr="00B10BAF">
        <w:t>gler</w:t>
      </w:r>
    </w:p>
    <w:p w:rsidR="00124C08" w:rsidRDefault="00A64484" w:rsidP="00A64484">
      <w:pPr>
        <w:rPr>
          <w:lang w:eastAsia="ja-JP"/>
        </w:rPr>
      </w:pPr>
      <w:r>
        <w:rPr>
          <w:lang w:eastAsia="ja-JP"/>
        </w:rPr>
        <w:t>MBBL har i maj 2014 udsendt en ny bekendtgørelse om vejnavne og adresser. Bekendt</w:t>
      </w:r>
      <w:r>
        <w:rPr>
          <w:lang w:eastAsia="ja-JP"/>
        </w:rPr>
        <w:softHyphen/>
        <w:t>gø</w:t>
      </w:r>
      <w:r w:rsidR="00124C08">
        <w:rPr>
          <w:lang w:eastAsia="ja-JP"/>
        </w:rPr>
        <w:softHyphen/>
      </w:r>
      <w:r>
        <w:rPr>
          <w:lang w:eastAsia="ja-JP"/>
        </w:rPr>
        <w:t>rel</w:t>
      </w:r>
      <w:r w:rsidR="00124C08">
        <w:rPr>
          <w:lang w:eastAsia="ja-JP"/>
        </w:rPr>
        <w:softHyphen/>
      </w:r>
      <w:r>
        <w:rPr>
          <w:lang w:eastAsia="ja-JP"/>
        </w:rPr>
        <w:t xml:space="preserve">sen </w:t>
      </w:r>
      <w:r w:rsidR="0071039C">
        <w:rPr>
          <w:lang w:eastAsia="ja-JP"/>
        </w:rPr>
        <w:t xml:space="preserve">fastlægger </w:t>
      </w:r>
      <w:r>
        <w:rPr>
          <w:lang w:eastAsia="ja-JP"/>
        </w:rPr>
        <w:t xml:space="preserve">de nye </w:t>
      </w:r>
      <w:r w:rsidR="00CB0A63">
        <w:rPr>
          <w:lang w:eastAsia="ja-JP"/>
        </w:rPr>
        <w:t xml:space="preserve">krav </w:t>
      </w:r>
      <w:r w:rsidR="0071039C">
        <w:rPr>
          <w:lang w:eastAsia="ja-JP"/>
        </w:rPr>
        <w:t>til fastsættelse</w:t>
      </w:r>
      <w:r w:rsidR="00CB0A63">
        <w:rPr>
          <w:lang w:eastAsia="ja-JP"/>
        </w:rPr>
        <w:t xml:space="preserve"> </w:t>
      </w:r>
      <w:r w:rsidR="0071039C">
        <w:rPr>
          <w:lang w:eastAsia="ja-JP"/>
        </w:rPr>
        <w:t xml:space="preserve">af </w:t>
      </w:r>
      <w:r w:rsidR="00CB0A63">
        <w:rPr>
          <w:lang w:eastAsia="ja-JP"/>
        </w:rPr>
        <w:t xml:space="preserve">præcise </w:t>
      </w:r>
      <w:r>
        <w:rPr>
          <w:lang w:eastAsia="ja-JP"/>
        </w:rPr>
        <w:t>adres</w:t>
      </w:r>
      <w:r w:rsidR="00CB0A63">
        <w:rPr>
          <w:lang w:eastAsia="ja-JP"/>
        </w:rPr>
        <w:softHyphen/>
      </w:r>
      <w:r>
        <w:rPr>
          <w:lang w:eastAsia="ja-JP"/>
        </w:rPr>
        <w:t xml:space="preserve">ser </w:t>
      </w:r>
      <w:r w:rsidR="00CB0A63">
        <w:rPr>
          <w:lang w:eastAsia="ja-JP"/>
        </w:rPr>
        <w:t xml:space="preserve">i områder og </w:t>
      </w:r>
      <w:r w:rsidR="00124C08">
        <w:rPr>
          <w:lang w:eastAsia="ja-JP"/>
        </w:rPr>
        <w:t>be</w:t>
      </w:r>
      <w:r w:rsidR="00CB0A63">
        <w:rPr>
          <w:lang w:eastAsia="ja-JP"/>
        </w:rPr>
        <w:softHyphen/>
      </w:r>
      <w:r w:rsidR="00124C08">
        <w:rPr>
          <w:lang w:eastAsia="ja-JP"/>
        </w:rPr>
        <w:t>byg</w:t>
      </w:r>
      <w:r w:rsidR="00CB0A63">
        <w:rPr>
          <w:lang w:eastAsia="ja-JP"/>
        </w:rPr>
        <w:softHyphen/>
      </w:r>
      <w:r w:rsidR="00124C08">
        <w:rPr>
          <w:lang w:eastAsia="ja-JP"/>
        </w:rPr>
        <w:t>g</w:t>
      </w:r>
      <w:r w:rsidR="00CB0A63">
        <w:rPr>
          <w:lang w:eastAsia="ja-JP"/>
        </w:rPr>
        <w:t>elser</w:t>
      </w:r>
      <w:r w:rsidR="00124C08">
        <w:rPr>
          <w:lang w:eastAsia="ja-JP"/>
        </w:rPr>
        <w:t>, som traditionelt kun har haft få eller ingen adres</w:t>
      </w:r>
      <w:r w:rsidR="00124C08">
        <w:rPr>
          <w:lang w:eastAsia="ja-JP"/>
        </w:rPr>
        <w:softHyphen/>
        <w:t xml:space="preserve">ser. </w:t>
      </w:r>
      <w:r w:rsidR="00CB0A63">
        <w:rPr>
          <w:lang w:eastAsia="ja-JP"/>
        </w:rPr>
        <w:t>Bekendtgørelsen er supple</w:t>
      </w:r>
      <w:r w:rsidR="00CB0A63">
        <w:rPr>
          <w:lang w:eastAsia="ja-JP"/>
        </w:rPr>
        <w:softHyphen/>
        <w:t>ret af en 80-siders illustreret vejledning, som viser eksempler på hvordan reglerne kan og bør udmøntes.</w:t>
      </w:r>
    </w:p>
    <w:p w:rsidR="00124C08" w:rsidRDefault="00124C08" w:rsidP="00124C08">
      <w:pPr>
        <w:rPr>
          <w:lang w:eastAsia="ja-JP"/>
        </w:rPr>
      </w:pPr>
      <w:r>
        <w:rPr>
          <w:lang w:eastAsia="ja-JP"/>
        </w:rPr>
        <w:t>Bekendtgørelsens regler blev bl.a. udformet efter en række dialogmøder med de store erhverv</w:t>
      </w:r>
      <w:r w:rsidR="00CB0A63">
        <w:rPr>
          <w:lang w:eastAsia="ja-JP"/>
        </w:rPr>
        <w:t xml:space="preserve">sorganisationer, med </w:t>
      </w:r>
      <w:r>
        <w:rPr>
          <w:lang w:eastAsia="ja-JP"/>
        </w:rPr>
        <w:t xml:space="preserve">politi og beredskab, regionerne, Post Danmark samt </w:t>
      </w:r>
      <w:r w:rsidR="00CB0A63">
        <w:rPr>
          <w:lang w:eastAsia="ja-JP"/>
        </w:rPr>
        <w:t xml:space="preserve">flere </w:t>
      </w:r>
      <w:r>
        <w:rPr>
          <w:lang w:eastAsia="ja-JP"/>
        </w:rPr>
        <w:t xml:space="preserve">kort- og GPS-leverandører. </w:t>
      </w:r>
      <w:r w:rsidR="00CB0A63">
        <w:rPr>
          <w:lang w:eastAsia="ja-JP"/>
        </w:rPr>
        <w:t>Hertil om en række værdifulde input fra adresse taskforcen.</w:t>
      </w:r>
    </w:p>
    <w:p w:rsidR="00B10BAF" w:rsidRDefault="00CB0A63" w:rsidP="00CB0A63">
      <w:pPr>
        <w:rPr>
          <w:lang w:eastAsia="ja-JP"/>
        </w:rPr>
      </w:pPr>
      <w:r>
        <w:rPr>
          <w:lang w:eastAsia="ja-JP"/>
        </w:rPr>
        <w:t>De nye regler er desuden kommunikeret ud i de landsdækkend</w:t>
      </w:r>
      <w:r w:rsidR="00522910">
        <w:rPr>
          <w:lang w:eastAsia="ja-JP"/>
        </w:rPr>
        <w:t xml:space="preserve">e og regionale medier samt i </w:t>
      </w:r>
      <w:proofErr w:type="spellStart"/>
      <w:r w:rsidR="00522910">
        <w:rPr>
          <w:lang w:eastAsia="ja-JP"/>
        </w:rPr>
        <w:t>DR-tv</w:t>
      </w:r>
      <w:proofErr w:type="spellEnd"/>
      <w:r w:rsidR="00522910">
        <w:rPr>
          <w:lang w:eastAsia="ja-JP"/>
        </w:rPr>
        <w:t xml:space="preserve"> og TV2-</w:t>
      </w:r>
      <w:r>
        <w:rPr>
          <w:lang w:eastAsia="ja-JP"/>
        </w:rPr>
        <w:t xml:space="preserve">regionerne via et kort, men effektivt OBS-spot. Selv borgere, virksomheder og ejere af ejendomme </w:t>
      </w:r>
      <w:r w:rsidR="00AD19C6">
        <w:rPr>
          <w:lang w:eastAsia="ja-JP"/>
        </w:rPr>
        <w:t xml:space="preserve">vil kunne </w:t>
      </w:r>
      <w:r>
        <w:rPr>
          <w:lang w:eastAsia="ja-JP"/>
        </w:rPr>
        <w:t>opfatte det som en byrde at få ny eller ændret adresse, er de nye regler blevet</w:t>
      </w:r>
      <w:r w:rsidR="00AD19C6">
        <w:rPr>
          <w:lang w:eastAsia="ja-JP"/>
        </w:rPr>
        <w:t xml:space="preserve"> modtaget positivt, og der har </w:t>
      </w:r>
      <w:r w:rsidR="00764188">
        <w:rPr>
          <w:lang w:eastAsia="ja-JP"/>
        </w:rPr>
        <w:t>indtil videre</w:t>
      </w:r>
      <w:r>
        <w:rPr>
          <w:lang w:eastAsia="ja-JP"/>
        </w:rPr>
        <w:t xml:space="preserve"> ikke været negative historier. </w:t>
      </w:r>
    </w:p>
    <w:p w:rsidR="0071039C" w:rsidRPr="0071039C" w:rsidRDefault="0071039C" w:rsidP="00CB0A63">
      <w:pPr>
        <w:rPr>
          <w:lang w:eastAsia="ja-JP"/>
        </w:rPr>
      </w:pPr>
      <w:r>
        <w:rPr>
          <w:lang w:eastAsia="ja-JP"/>
        </w:rPr>
        <w:t>Arbejdet med en forestående, egentlige revision af BBR-lovens adressebestemmelser, udføres sammen med lovprojektet for GD1 –</w:t>
      </w:r>
      <w:r w:rsidR="00522910">
        <w:rPr>
          <w:lang w:eastAsia="ja-JP"/>
        </w:rPr>
        <w:t xml:space="preserve"> Ejend</w:t>
      </w:r>
      <w:r>
        <w:rPr>
          <w:lang w:eastAsia="ja-JP"/>
        </w:rPr>
        <w:t>omsdataprogrammet</w:t>
      </w:r>
    </w:p>
    <w:p w:rsidR="003864EA" w:rsidRDefault="00B10BAF" w:rsidP="00522910">
      <w:pPr>
        <w:pStyle w:val="Overskrift2"/>
      </w:pPr>
      <w:r w:rsidRPr="00B10BAF">
        <w:t>7</w:t>
      </w:r>
      <w:r w:rsidR="003864EA" w:rsidRPr="00B10BAF">
        <w:t xml:space="preserve">. </w:t>
      </w:r>
      <w:r w:rsidR="0071039C">
        <w:t>Adresseanvendelse til virksomheds</w:t>
      </w:r>
      <w:r w:rsidR="003864EA" w:rsidRPr="00B10BAF">
        <w:t>registrering</w:t>
      </w:r>
      <w:r w:rsidR="0071039C">
        <w:t>, CVR mm.</w:t>
      </w:r>
    </w:p>
    <w:p w:rsidR="00AD19C6" w:rsidRDefault="00764188" w:rsidP="00764188">
      <w:pPr>
        <w:rPr>
          <w:lang w:eastAsia="ja-JP"/>
        </w:rPr>
      </w:pPr>
      <w:r>
        <w:rPr>
          <w:lang w:eastAsia="ja-JP"/>
        </w:rPr>
        <w:t>Erhvervsstyrelsen (ERST) har</w:t>
      </w:r>
      <w:r w:rsidR="0071039C">
        <w:rPr>
          <w:lang w:eastAsia="ja-JP"/>
        </w:rPr>
        <w:t>, i forbindelse med deres moderniseringsprogram for virksom</w:t>
      </w:r>
      <w:r w:rsidR="00781C2B">
        <w:rPr>
          <w:lang w:eastAsia="ja-JP"/>
        </w:rPr>
        <w:softHyphen/>
      </w:r>
      <w:r w:rsidR="0071039C">
        <w:rPr>
          <w:lang w:eastAsia="ja-JP"/>
        </w:rPr>
        <w:t>heds</w:t>
      </w:r>
      <w:r w:rsidR="00781C2B">
        <w:rPr>
          <w:lang w:eastAsia="ja-JP"/>
        </w:rPr>
        <w:softHyphen/>
      </w:r>
      <w:r w:rsidR="0071039C">
        <w:rPr>
          <w:lang w:eastAsia="ja-JP"/>
        </w:rPr>
        <w:t xml:space="preserve">registreringen, forberedt CVR-systemet til anvendelsen af de autoritative adresser </w:t>
      </w:r>
      <w:r w:rsidR="00781C2B">
        <w:rPr>
          <w:lang w:eastAsia="ja-JP"/>
        </w:rPr>
        <w:t xml:space="preserve">fra DAR </w:t>
      </w:r>
      <w:r w:rsidR="0071039C">
        <w:rPr>
          <w:lang w:eastAsia="ja-JP"/>
        </w:rPr>
        <w:t xml:space="preserve">som adressegrundlag. </w:t>
      </w:r>
      <w:r w:rsidR="00781C2B">
        <w:rPr>
          <w:lang w:eastAsia="ja-JP"/>
        </w:rPr>
        <w:t>Systemets centrale ”adressekomponent” har implementeret adres</w:t>
      </w:r>
      <w:r w:rsidR="00230FFF">
        <w:rPr>
          <w:lang w:eastAsia="ja-JP"/>
        </w:rPr>
        <w:softHyphen/>
      </w:r>
      <w:r w:rsidR="00781C2B">
        <w:rPr>
          <w:lang w:eastAsia="ja-JP"/>
        </w:rPr>
        <w:t>setjene</w:t>
      </w:r>
      <w:r w:rsidR="00781C2B">
        <w:rPr>
          <w:lang w:eastAsia="ja-JP"/>
        </w:rPr>
        <w:softHyphen/>
        <w:t xml:space="preserve">sterne i AWS 4 og CVR-databasen er omlagt til at kunne udstille </w:t>
      </w:r>
      <w:proofErr w:type="spellStart"/>
      <w:r w:rsidR="00230FFF">
        <w:rPr>
          <w:lang w:eastAsia="ja-JP"/>
        </w:rPr>
        <w:t>DAR’s</w:t>
      </w:r>
      <w:proofErr w:type="spellEnd"/>
      <w:r w:rsidR="00230FFF">
        <w:rPr>
          <w:lang w:eastAsia="ja-JP"/>
        </w:rPr>
        <w:t xml:space="preserve"> </w:t>
      </w:r>
      <w:r w:rsidR="00781C2B">
        <w:rPr>
          <w:lang w:eastAsia="ja-JP"/>
        </w:rPr>
        <w:t>adresser.</w:t>
      </w:r>
      <w:r w:rsidR="00AD19C6">
        <w:rPr>
          <w:lang w:eastAsia="ja-JP"/>
        </w:rPr>
        <w:t xml:space="preserve"> </w:t>
      </w:r>
      <w:r w:rsidR="00781C2B">
        <w:rPr>
          <w:lang w:eastAsia="ja-JP"/>
        </w:rPr>
        <w:t>Enkelte systemer, fx ”Register</w:t>
      </w:r>
      <w:r w:rsidR="00781C2B" w:rsidRPr="0071039C">
        <w:rPr>
          <w:lang w:eastAsia="ja-JP"/>
        </w:rPr>
        <w:t xml:space="preserve"> for udenlandske tjenesteydere</w:t>
      </w:r>
      <w:r w:rsidR="00781C2B">
        <w:rPr>
          <w:lang w:eastAsia="ja-JP"/>
        </w:rPr>
        <w:t>” (RUT), har taget AWS 4 i brug.</w:t>
      </w:r>
      <w:r w:rsidR="00AD19C6">
        <w:rPr>
          <w:lang w:eastAsia="ja-JP"/>
        </w:rPr>
        <w:t xml:space="preserve"> </w:t>
      </w:r>
    </w:p>
    <w:p w:rsidR="00781C2B" w:rsidRDefault="00781C2B" w:rsidP="00764188">
      <w:pPr>
        <w:rPr>
          <w:lang w:eastAsia="ja-JP"/>
        </w:rPr>
      </w:pPr>
      <w:r>
        <w:rPr>
          <w:lang w:eastAsia="ja-JP"/>
        </w:rPr>
        <w:t>CVR’s generelle Ibrugtagen af det nye adressegrundlag afventer dels, at MBBL og kom</w:t>
      </w:r>
      <w:r>
        <w:rPr>
          <w:lang w:eastAsia="ja-JP"/>
        </w:rPr>
        <w:softHyphen/>
        <w:t>mu</w:t>
      </w:r>
      <w:r>
        <w:rPr>
          <w:lang w:eastAsia="ja-JP"/>
        </w:rPr>
        <w:softHyphen/>
        <w:t>nerne afslutter opgaven med de supplerende adresser, dels at CVR’s registre</w:t>
      </w:r>
      <w:r>
        <w:rPr>
          <w:lang w:eastAsia="ja-JP"/>
        </w:rPr>
        <w:softHyphen/>
        <w:t>ringsløsninger er omstillet til at bruge AWS. Samtidig skal SKAT’s og Danmarks Statistiks erhvervs</w:t>
      </w:r>
      <w:r>
        <w:rPr>
          <w:lang w:eastAsia="ja-JP"/>
        </w:rPr>
        <w:softHyphen/>
        <w:t>regis</w:t>
      </w:r>
      <w:r>
        <w:rPr>
          <w:lang w:eastAsia="ja-JP"/>
        </w:rPr>
        <w:softHyphen/>
        <w:t>tre</w:t>
      </w:r>
      <w:r>
        <w:rPr>
          <w:lang w:eastAsia="ja-JP"/>
        </w:rPr>
        <w:softHyphen/>
        <w:t xml:space="preserve">ringsløsninger være omstillet til de autoritative adresser. </w:t>
      </w:r>
    </w:p>
    <w:p w:rsidR="00B10BAF" w:rsidRDefault="00B10BAF" w:rsidP="00522910">
      <w:pPr>
        <w:pStyle w:val="Overskrift2"/>
      </w:pPr>
      <w:r w:rsidRPr="00B10BAF">
        <w:t xml:space="preserve">8. </w:t>
      </w:r>
      <w:r w:rsidR="0071039C">
        <w:t>Adresseanvendelse til f</w:t>
      </w:r>
      <w:r w:rsidRPr="00B10BAF">
        <w:t>olkeregistrering</w:t>
      </w:r>
      <w:r w:rsidR="0071039C">
        <w:t>, CPR</w:t>
      </w:r>
      <w:r w:rsidRPr="00B10BAF">
        <w:t xml:space="preserve"> </w:t>
      </w:r>
    </w:p>
    <w:p w:rsidR="00890618" w:rsidRDefault="006C3DF2" w:rsidP="006C3DF2">
      <w:pPr>
        <w:rPr>
          <w:lang w:eastAsia="ja-JP"/>
        </w:rPr>
      </w:pPr>
      <w:r>
        <w:rPr>
          <w:lang w:eastAsia="ja-JP"/>
        </w:rPr>
        <w:t xml:space="preserve">CPR-kontoret </w:t>
      </w:r>
      <w:r w:rsidR="00781C2B">
        <w:rPr>
          <w:lang w:eastAsia="ja-JP"/>
        </w:rPr>
        <w:t xml:space="preserve">har </w:t>
      </w:r>
      <w:r w:rsidR="00511F1E">
        <w:rPr>
          <w:lang w:eastAsia="ja-JP"/>
        </w:rPr>
        <w:t xml:space="preserve">i 2014 </w:t>
      </w:r>
      <w:r w:rsidR="00781C2B">
        <w:rPr>
          <w:lang w:eastAsia="ja-JP"/>
        </w:rPr>
        <w:t xml:space="preserve">igangsat den </w:t>
      </w:r>
      <w:r w:rsidR="00890618">
        <w:rPr>
          <w:lang w:eastAsia="ja-JP"/>
        </w:rPr>
        <w:t xml:space="preserve">grundige </w:t>
      </w:r>
      <w:r w:rsidR="00230FFF">
        <w:rPr>
          <w:lang w:eastAsia="ja-JP"/>
        </w:rPr>
        <w:t xml:space="preserve">forberedende </w:t>
      </w:r>
      <w:r w:rsidR="00781C2B">
        <w:rPr>
          <w:lang w:eastAsia="ja-JP"/>
        </w:rPr>
        <w:t>analyse af</w:t>
      </w:r>
      <w:r w:rsidR="00890618">
        <w:rPr>
          <w:lang w:eastAsia="ja-JP"/>
        </w:rPr>
        <w:t>,</w:t>
      </w:r>
      <w:r w:rsidR="00781C2B">
        <w:rPr>
          <w:lang w:eastAsia="ja-JP"/>
        </w:rPr>
        <w:t xml:space="preserve"> hvordan d</w:t>
      </w:r>
      <w:r w:rsidR="00230FFF">
        <w:rPr>
          <w:lang w:eastAsia="ja-JP"/>
        </w:rPr>
        <w:t>e auto</w:t>
      </w:r>
      <w:r w:rsidR="00511F1E">
        <w:rPr>
          <w:lang w:eastAsia="ja-JP"/>
        </w:rPr>
        <w:softHyphen/>
      </w:r>
      <w:r w:rsidR="00230FFF">
        <w:rPr>
          <w:lang w:eastAsia="ja-JP"/>
        </w:rPr>
        <w:t>ritative adresser fra DAR og oplysningernes om adressernes beliggenhed i DAGI’s sogn, post</w:t>
      </w:r>
      <w:r w:rsidR="00511F1E">
        <w:rPr>
          <w:lang w:eastAsia="ja-JP"/>
        </w:rPr>
        <w:softHyphen/>
      </w:r>
      <w:r w:rsidR="00230FFF">
        <w:rPr>
          <w:lang w:eastAsia="ja-JP"/>
        </w:rPr>
        <w:t xml:space="preserve">nummer og afstemningsområde mv., skal implementeres i CPR-Systemet. </w:t>
      </w:r>
    </w:p>
    <w:p w:rsidR="006C3DF2" w:rsidRPr="00890618" w:rsidRDefault="00230FFF" w:rsidP="00890618">
      <w:pPr>
        <w:rPr>
          <w:lang w:eastAsia="ja-JP"/>
        </w:rPr>
      </w:pPr>
      <w:r>
        <w:rPr>
          <w:lang w:eastAsia="ja-JP"/>
        </w:rPr>
        <w:t xml:space="preserve">Opgaven er dels at </w:t>
      </w:r>
      <w:r w:rsidR="00855BC4">
        <w:rPr>
          <w:lang w:eastAsia="ja-JP"/>
        </w:rPr>
        <w:t xml:space="preserve">sikre en sikker overgang til anvendelsen af de autoritative adresser som grundlag for personregistreringen, dels at sikre at kommunernes manuelle ajourføring af CPR’s vejregister kan udfases, uden at CPR’s mange </w:t>
      </w:r>
      <w:r w:rsidR="00890618">
        <w:rPr>
          <w:lang w:eastAsia="ja-JP"/>
        </w:rPr>
        <w:t>brugere berøres.</w:t>
      </w:r>
    </w:p>
    <w:p w:rsidR="00B10BAF" w:rsidRPr="00AD19C6" w:rsidRDefault="00890618" w:rsidP="00D45F8D">
      <w:pPr>
        <w:rPr>
          <w:bCs/>
          <w:lang w:eastAsia="ja-JP"/>
        </w:rPr>
      </w:pPr>
      <w:r>
        <w:rPr>
          <w:bCs/>
          <w:lang w:eastAsia="ja-JP"/>
        </w:rPr>
        <w:t>Den fremtidige løsningsarkitektur for CPR er helt afhængig af, hvordan sam</w:t>
      </w:r>
      <w:r>
        <w:rPr>
          <w:bCs/>
          <w:lang w:eastAsia="ja-JP"/>
        </w:rPr>
        <w:softHyphen/>
        <w:t>spillet mellem DAGI og DAR detailspecificeres og hvordan Datafordelerens beskedfordeler implementeres.</w:t>
      </w:r>
    </w:p>
    <w:sectPr w:rsidR="00B10BAF" w:rsidRPr="00AD19C6" w:rsidSect="00C96DDB">
      <w:footerReference w:type="default" r:id="rId8"/>
      <w:headerReference w:type="first" r:id="rId9"/>
      <w:footerReference w:type="first" r:id="rId10"/>
      <w:pgSz w:w="11906" w:h="16838" w:code="9"/>
      <w:pgMar w:top="1701" w:right="1416" w:bottom="156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056C" w:rsidRDefault="002B056C" w:rsidP="00D81B88">
      <w:pPr>
        <w:spacing w:after="0"/>
      </w:pPr>
      <w:r>
        <w:separator/>
      </w:r>
    </w:p>
  </w:endnote>
  <w:endnote w:type="continuationSeparator" w:id="0">
    <w:p w:rsidR="002B056C" w:rsidRDefault="002B056C" w:rsidP="00D81B8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56C" w:rsidRPr="00BE5210" w:rsidRDefault="002B056C" w:rsidP="009B0A02">
    <w:pPr>
      <w:pStyle w:val="Sidefod"/>
    </w:pPr>
  </w:p>
  <w:p w:rsidR="002B056C" w:rsidRPr="00BE5210" w:rsidRDefault="002B056C" w:rsidP="009B0A02">
    <w:pPr>
      <w:pStyle w:val="Sidefod"/>
    </w:pPr>
    <w:r w:rsidRPr="00BE5210">
      <w:rPr>
        <w:b/>
        <w:bCs/>
      </w:rPr>
      <w:fldChar w:fldCharType="begin"/>
    </w:r>
    <w:r w:rsidRPr="00BE5210">
      <w:rPr>
        <w:b/>
        <w:bCs/>
      </w:rPr>
      <w:instrText>PAGE  \* Arabic  \* MERGEFORMAT</w:instrText>
    </w:r>
    <w:r w:rsidRPr="00BE5210">
      <w:rPr>
        <w:b/>
        <w:bCs/>
      </w:rPr>
      <w:fldChar w:fldCharType="separate"/>
    </w:r>
    <w:r w:rsidR="00571013">
      <w:rPr>
        <w:b/>
        <w:bCs/>
        <w:noProof/>
      </w:rPr>
      <w:t>3</w:t>
    </w:r>
    <w:r w:rsidRPr="00BE5210">
      <w:rPr>
        <w:b/>
        <w:bCs/>
      </w:rPr>
      <w:fldChar w:fldCharType="end"/>
    </w:r>
    <w:r w:rsidRPr="00BE5210">
      <w:t xml:space="preserve"> af </w:t>
    </w:r>
    <w:fldSimple w:instr="NUMPAGES  \* Arabic  \* MERGEFORMAT">
      <w:r w:rsidR="00571013" w:rsidRPr="00571013">
        <w:rPr>
          <w:b/>
          <w:bCs/>
          <w:noProof/>
        </w:rPr>
        <w:t>3</w:t>
      </w:r>
    </w:fldSimple>
  </w:p>
  <w:p w:rsidR="002B056C" w:rsidRPr="00BE5210" w:rsidRDefault="002B056C" w:rsidP="009B0A02">
    <w:pPr>
      <w:pStyle w:val="Sidefod"/>
    </w:pPr>
    <w:r w:rsidRPr="00BE5210">
      <w:t xml:space="preserve">Gammel Mønt 4 · 1117 Købehavn K · T +45 33 92 29 00 · E mbbl@mbbl.dk · www.mbbl.dk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56C" w:rsidRPr="00B24063" w:rsidRDefault="002B056C" w:rsidP="00B24063">
    <w:pPr>
      <w:pStyle w:val="Sidefod"/>
    </w:pPr>
    <w:r w:rsidRPr="00B24063">
      <w:t xml:space="preserve">Gammel Mønt 4 · 1117 Købehavn K · T +45 33 92 29 00 · E mbbl@mbbl.dk · www.mbbl.dk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056C" w:rsidRDefault="002B056C" w:rsidP="00D81B88">
      <w:pPr>
        <w:spacing w:after="0"/>
      </w:pPr>
      <w:r>
        <w:separator/>
      </w:r>
    </w:p>
  </w:footnote>
  <w:footnote w:type="continuationSeparator" w:id="0">
    <w:p w:rsidR="002B056C" w:rsidRDefault="002B056C" w:rsidP="00D81B8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56C" w:rsidRDefault="00F95A55" w:rsidP="0038207E">
    <w:pPr>
      <w:pStyle w:val="Sidehoved"/>
      <w:tabs>
        <w:tab w:val="right" w:pos="9072"/>
      </w:tabs>
    </w:pPr>
    <w:r>
      <w:rPr>
        <w:noProof/>
        <w:lang w:eastAsia="da-DK"/>
      </w:rPr>
      <w:drawing>
        <wp:inline distT="0" distB="0" distL="0" distR="0" wp14:anchorId="31476D82" wp14:editId="1C40DB69">
          <wp:extent cx="1533525" cy="657225"/>
          <wp:effectExtent l="0" t="0" r="9525" b="9525"/>
          <wp:docPr id="1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B056C">
      <w:tab/>
    </w:r>
    <w:r w:rsidR="002B056C">
      <w:tab/>
    </w:r>
    <w:r>
      <w:rPr>
        <w:noProof/>
        <w:lang w:eastAsia="da-DK"/>
      </w:rPr>
      <w:drawing>
        <wp:anchor distT="0" distB="0" distL="114300" distR="114300" simplePos="0" relativeHeight="251660288" behindDoc="0" locked="0" layoutInCell="1" allowOverlap="1" wp14:anchorId="7F2E140C" wp14:editId="25C40673">
          <wp:simplePos x="0" y="0"/>
          <wp:positionH relativeFrom="column">
            <wp:posOffset>3834765</wp:posOffset>
          </wp:positionH>
          <wp:positionV relativeFrom="page">
            <wp:posOffset>410210</wp:posOffset>
          </wp:positionV>
          <wp:extent cx="1663065" cy="511175"/>
          <wp:effectExtent l="0" t="0" r="0" b="3175"/>
          <wp:wrapSquare wrapText="bothSides"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3065" cy="511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99F01F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3D6C3F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346DF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D2092C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994E6E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692EA6D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DC16E1E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48125BA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589479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200EAB6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08A5590C"/>
    <w:multiLevelType w:val="multilevel"/>
    <w:tmpl w:val="6A84CDDE"/>
    <w:lvl w:ilvl="0">
      <w:start w:val="1"/>
      <w:numFmt w:val="decimal"/>
      <w:lvlText w:val="%1"/>
      <w:lvlJc w:val="left"/>
      <w:pPr>
        <w:tabs>
          <w:tab w:val="num" w:pos="-40"/>
        </w:tabs>
        <w:ind w:left="-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-40"/>
        </w:tabs>
        <w:ind w:left="-40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5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3600" w:hanging="1440"/>
      </w:pPr>
      <w:rPr>
        <w:rFonts w:hint="default"/>
      </w:rPr>
    </w:lvl>
  </w:abstractNum>
  <w:abstractNum w:abstractNumId="11">
    <w:nsid w:val="14CA3389"/>
    <w:multiLevelType w:val="multilevel"/>
    <w:tmpl w:val="BEC2B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20C90098"/>
    <w:multiLevelType w:val="multilevel"/>
    <w:tmpl w:val="EC34284E"/>
    <w:lvl w:ilvl="0">
      <w:start w:val="1"/>
      <w:numFmt w:val="decimal"/>
      <w:lvlText w:val="%1."/>
      <w:lvlJc w:val="left"/>
      <w:pPr>
        <w:tabs>
          <w:tab w:val="num" w:pos="680"/>
        </w:tabs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3">
    <w:nsid w:val="231E5F38"/>
    <w:multiLevelType w:val="hybridMultilevel"/>
    <w:tmpl w:val="8668BC82"/>
    <w:lvl w:ilvl="0" w:tplc="0406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14">
    <w:nsid w:val="33C70F94"/>
    <w:multiLevelType w:val="hybridMultilevel"/>
    <w:tmpl w:val="9E4C4AC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359F4744"/>
    <w:multiLevelType w:val="multilevel"/>
    <w:tmpl w:val="6A84CDDE"/>
    <w:lvl w:ilvl="0">
      <w:start w:val="1"/>
      <w:numFmt w:val="decimal"/>
      <w:lvlText w:val="%1"/>
      <w:lvlJc w:val="left"/>
      <w:pPr>
        <w:tabs>
          <w:tab w:val="num" w:pos="-40"/>
        </w:tabs>
        <w:ind w:left="-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-40"/>
        </w:tabs>
        <w:ind w:left="-40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5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3600" w:hanging="1440"/>
      </w:pPr>
      <w:rPr>
        <w:rFonts w:hint="default"/>
      </w:rPr>
    </w:lvl>
  </w:abstractNum>
  <w:abstractNum w:abstractNumId="16">
    <w:nsid w:val="3C0B42F6"/>
    <w:multiLevelType w:val="hybridMultilevel"/>
    <w:tmpl w:val="18A838A6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408D234B"/>
    <w:multiLevelType w:val="hybridMultilevel"/>
    <w:tmpl w:val="4810F100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51B37B9A"/>
    <w:multiLevelType w:val="hybridMultilevel"/>
    <w:tmpl w:val="4D60DB42"/>
    <w:lvl w:ilvl="0" w:tplc="04060001">
      <w:start w:val="1"/>
      <w:numFmt w:val="bullet"/>
      <w:pStyle w:val="Opstilling-punkttegn2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602663DA"/>
    <w:multiLevelType w:val="hybridMultilevel"/>
    <w:tmpl w:val="FCC46F7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66B32CC4"/>
    <w:multiLevelType w:val="hybridMultilevel"/>
    <w:tmpl w:val="BEC2B296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6CF2485D"/>
    <w:multiLevelType w:val="hybridMultilevel"/>
    <w:tmpl w:val="CD889776"/>
    <w:lvl w:ilvl="0" w:tplc="E98888D0">
      <w:start w:val="1"/>
      <w:numFmt w:val="bullet"/>
      <w:pStyle w:val="BodyQuoteLis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6E0F0066"/>
    <w:multiLevelType w:val="multilevel"/>
    <w:tmpl w:val="14D82858"/>
    <w:lvl w:ilvl="0">
      <w:start w:val="1"/>
      <w:numFmt w:val="decimal"/>
      <w:lvlText w:val="%1."/>
      <w:lvlJc w:val="left"/>
      <w:pPr>
        <w:tabs>
          <w:tab w:val="num" w:pos="680"/>
        </w:tabs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3">
    <w:nsid w:val="72B96569"/>
    <w:multiLevelType w:val="multilevel"/>
    <w:tmpl w:val="EC34284E"/>
    <w:lvl w:ilvl="0">
      <w:start w:val="1"/>
      <w:numFmt w:val="decimal"/>
      <w:lvlText w:val="%1."/>
      <w:lvlJc w:val="left"/>
      <w:pPr>
        <w:tabs>
          <w:tab w:val="num" w:pos="680"/>
        </w:tabs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9"/>
  </w:num>
  <w:num w:numId="4">
    <w:abstractNumId w:val="7"/>
  </w:num>
  <w:num w:numId="5">
    <w:abstractNumId w:val="9"/>
  </w:num>
  <w:num w:numId="6">
    <w:abstractNumId w:val="7"/>
  </w:num>
  <w:num w:numId="7">
    <w:abstractNumId w:val="9"/>
  </w:num>
  <w:num w:numId="8">
    <w:abstractNumId w:val="7"/>
  </w:num>
  <w:num w:numId="9">
    <w:abstractNumId w:val="9"/>
  </w:num>
  <w:num w:numId="10">
    <w:abstractNumId w:val="7"/>
  </w:num>
  <w:num w:numId="11">
    <w:abstractNumId w:val="9"/>
  </w:num>
  <w:num w:numId="12">
    <w:abstractNumId w:val="7"/>
  </w:num>
  <w:num w:numId="13">
    <w:abstractNumId w:val="9"/>
  </w:num>
  <w:num w:numId="14">
    <w:abstractNumId w:val="9"/>
  </w:num>
  <w:num w:numId="15">
    <w:abstractNumId w:val="9"/>
  </w:num>
  <w:num w:numId="16">
    <w:abstractNumId w:val="9"/>
  </w:num>
  <w:num w:numId="17">
    <w:abstractNumId w:val="9"/>
  </w:num>
  <w:num w:numId="18">
    <w:abstractNumId w:val="9"/>
  </w:num>
  <w:num w:numId="19">
    <w:abstractNumId w:val="9"/>
  </w:num>
  <w:num w:numId="20">
    <w:abstractNumId w:val="9"/>
  </w:num>
  <w:num w:numId="21">
    <w:abstractNumId w:val="9"/>
  </w:num>
  <w:num w:numId="22">
    <w:abstractNumId w:val="9"/>
  </w:num>
  <w:num w:numId="23">
    <w:abstractNumId w:val="9"/>
  </w:num>
  <w:num w:numId="24">
    <w:abstractNumId w:val="19"/>
  </w:num>
  <w:num w:numId="25">
    <w:abstractNumId w:val="13"/>
  </w:num>
  <w:num w:numId="26">
    <w:abstractNumId w:val="18"/>
  </w:num>
  <w:num w:numId="27">
    <w:abstractNumId w:val="9"/>
  </w:num>
  <w:num w:numId="28">
    <w:abstractNumId w:val="7"/>
  </w:num>
  <w:num w:numId="29">
    <w:abstractNumId w:val="6"/>
  </w:num>
  <w:num w:numId="30">
    <w:abstractNumId w:val="5"/>
  </w:num>
  <w:num w:numId="31">
    <w:abstractNumId w:val="4"/>
  </w:num>
  <w:num w:numId="32">
    <w:abstractNumId w:val="8"/>
  </w:num>
  <w:num w:numId="33">
    <w:abstractNumId w:val="3"/>
  </w:num>
  <w:num w:numId="34">
    <w:abstractNumId w:val="2"/>
  </w:num>
  <w:num w:numId="35">
    <w:abstractNumId w:val="1"/>
  </w:num>
  <w:num w:numId="36">
    <w:abstractNumId w:val="0"/>
  </w:num>
  <w:num w:numId="37">
    <w:abstractNumId w:val="23"/>
  </w:num>
  <w:num w:numId="38">
    <w:abstractNumId w:val="10"/>
  </w:num>
  <w:num w:numId="39">
    <w:abstractNumId w:val="15"/>
  </w:num>
  <w:num w:numId="40">
    <w:abstractNumId w:val="22"/>
  </w:num>
  <w:num w:numId="41">
    <w:abstractNumId w:val="12"/>
  </w:num>
  <w:num w:numId="42">
    <w:abstractNumId w:val="21"/>
  </w:num>
  <w:num w:numId="43">
    <w:abstractNumId w:val="20"/>
  </w:num>
  <w:num w:numId="44">
    <w:abstractNumId w:val="11"/>
  </w:num>
  <w:num w:numId="45">
    <w:abstractNumId w:val="17"/>
  </w:num>
  <w:num w:numId="46">
    <w:abstractNumId w:val="14"/>
  </w:num>
  <w:num w:numId="4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8DB"/>
    <w:rsid w:val="0000136E"/>
    <w:rsid w:val="000039BB"/>
    <w:rsid w:val="00007560"/>
    <w:rsid w:val="00016CE4"/>
    <w:rsid w:val="0001715E"/>
    <w:rsid w:val="00022C22"/>
    <w:rsid w:val="00023883"/>
    <w:rsid w:val="00023A97"/>
    <w:rsid w:val="00023A9F"/>
    <w:rsid w:val="00027643"/>
    <w:rsid w:val="00030D8D"/>
    <w:rsid w:val="00034A9B"/>
    <w:rsid w:val="00035DCB"/>
    <w:rsid w:val="00037171"/>
    <w:rsid w:val="00044159"/>
    <w:rsid w:val="00045906"/>
    <w:rsid w:val="00051272"/>
    <w:rsid w:val="000533F3"/>
    <w:rsid w:val="000537E7"/>
    <w:rsid w:val="00062A70"/>
    <w:rsid w:val="00071DBE"/>
    <w:rsid w:val="0007437B"/>
    <w:rsid w:val="00074B53"/>
    <w:rsid w:val="0007519F"/>
    <w:rsid w:val="00075372"/>
    <w:rsid w:val="00075F51"/>
    <w:rsid w:val="000810C7"/>
    <w:rsid w:val="00082031"/>
    <w:rsid w:val="0008253A"/>
    <w:rsid w:val="0008727A"/>
    <w:rsid w:val="000876B9"/>
    <w:rsid w:val="00090DC3"/>
    <w:rsid w:val="00091405"/>
    <w:rsid w:val="00093DC0"/>
    <w:rsid w:val="00094E7B"/>
    <w:rsid w:val="000A0737"/>
    <w:rsid w:val="000A375E"/>
    <w:rsid w:val="000A4577"/>
    <w:rsid w:val="000A470D"/>
    <w:rsid w:val="000A5F81"/>
    <w:rsid w:val="000A60F1"/>
    <w:rsid w:val="000A7892"/>
    <w:rsid w:val="000B1BBF"/>
    <w:rsid w:val="000B1D93"/>
    <w:rsid w:val="000B2432"/>
    <w:rsid w:val="000B30A4"/>
    <w:rsid w:val="000C01B4"/>
    <w:rsid w:val="000C01FA"/>
    <w:rsid w:val="000C06CD"/>
    <w:rsid w:val="000C0F4D"/>
    <w:rsid w:val="000C1690"/>
    <w:rsid w:val="000D35A1"/>
    <w:rsid w:val="000D55A4"/>
    <w:rsid w:val="000E4015"/>
    <w:rsid w:val="000E45D0"/>
    <w:rsid w:val="000F14E6"/>
    <w:rsid w:val="000F61B9"/>
    <w:rsid w:val="000F67CD"/>
    <w:rsid w:val="00100CFD"/>
    <w:rsid w:val="00101839"/>
    <w:rsid w:val="00102964"/>
    <w:rsid w:val="00105859"/>
    <w:rsid w:val="001079AD"/>
    <w:rsid w:val="00107A6A"/>
    <w:rsid w:val="00110390"/>
    <w:rsid w:val="00110C58"/>
    <w:rsid w:val="00111DE8"/>
    <w:rsid w:val="001155DA"/>
    <w:rsid w:val="00124C08"/>
    <w:rsid w:val="001270BA"/>
    <w:rsid w:val="00135F69"/>
    <w:rsid w:val="00140E3E"/>
    <w:rsid w:val="0014710A"/>
    <w:rsid w:val="00147B85"/>
    <w:rsid w:val="001503FE"/>
    <w:rsid w:val="00153ED2"/>
    <w:rsid w:val="001558A0"/>
    <w:rsid w:val="00161776"/>
    <w:rsid w:val="00163185"/>
    <w:rsid w:val="00163AD4"/>
    <w:rsid w:val="00165999"/>
    <w:rsid w:val="0017104D"/>
    <w:rsid w:val="00175EF9"/>
    <w:rsid w:val="00177C96"/>
    <w:rsid w:val="00190D84"/>
    <w:rsid w:val="00195C41"/>
    <w:rsid w:val="00196628"/>
    <w:rsid w:val="00197924"/>
    <w:rsid w:val="001A01E6"/>
    <w:rsid w:val="001A035F"/>
    <w:rsid w:val="001A14A3"/>
    <w:rsid w:val="001A1B42"/>
    <w:rsid w:val="001A2EF8"/>
    <w:rsid w:val="001A647E"/>
    <w:rsid w:val="001A7245"/>
    <w:rsid w:val="001B2986"/>
    <w:rsid w:val="001B39C1"/>
    <w:rsid w:val="001B4351"/>
    <w:rsid w:val="001B45B1"/>
    <w:rsid w:val="001C3C68"/>
    <w:rsid w:val="001C6C07"/>
    <w:rsid w:val="001D22D1"/>
    <w:rsid w:val="001D64BD"/>
    <w:rsid w:val="001E0631"/>
    <w:rsid w:val="001E4C6A"/>
    <w:rsid w:val="001F2A15"/>
    <w:rsid w:val="001F444E"/>
    <w:rsid w:val="001F4937"/>
    <w:rsid w:val="001F703E"/>
    <w:rsid w:val="001F731A"/>
    <w:rsid w:val="001F7FE0"/>
    <w:rsid w:val="002028B4"/>
    <w:rsid w:val="00211C11"/>
    <w:rsid w:val="00211CD7"/>
    <w:rsid w:val="002142CA"/>
    <w:rsid w:val="00222EEF"/>
    <w:rsid w:val="00223085"/>
    <w:rsid w:val="00223F39"/>
    <w:rsid w:val="0022475A"/>
    <w:rsid w:val="00225D9E"/>
    <w:rsid w:val="00230FFF"/>
    <w:rsid w:val="00231DB8"/>
    <w:rsid w:val="00232693"/>
    <w:rsid w:val="0023475F"/>
    <w:rsid w:val="00235450"/>
    <w:rsid w:val="00236668"/>
    <w:rsid w:val="002374DA"/>
    <w:rsid w:val="002417AA"/>
    <w:rsid w:val="00242252"/>
    <w:rsid w:val="00243709"/>
    <w:rsid w:val="00252732"/>
    <w:rsid w:val="00252FBB"/>
    <w:rsid w:val="002530F6"/>
    <w:rsid w:val="0025416F"/>
    <w:rsid w:val="002611C7"/>
    <w:rsid w:val="00262AB3"/>
    <w:rsid w:val="00263B49"/>
    <w:rsid w:val="00266566"/>
    <w:rsid w:val="0026657E"/>
    <w:rsid w:val="002715C7"/>
    <w:rsid w:val="002723AA"/>
    <w:rsid w:val="002732A8"/>
    <w:rsid w:val="00273F4D"/>
    <w:rsid w:val="0027592D"/>
    <w:rsid w:val="0028315E"/>
    <w:rsid w:val="002831BD"/>
    <w:rsid w:val="002878A4"/>
    <w:rsid w:val="0029054C"/>
    <w:rsid w:val="00290C30"/>
    <w:rsid w:val="00292806"/>
    <w:rsid w:val="00296196"/>
    <w:rsid w:val="002A1119"/>
    <w:rsid w:val="002A174F"/>
    <w:rsid w:val="002A3E50"/>
    <w:rsid w:val="002A7370"/>
    <w:rsid w:val="002A73CD"/>
    <w:rsid w:val="002B056C"/>
    <w:rsid w:val="002B0C70"/>
    <w:rsid w:val="002B1734"/>
    <w:rsid w:val="002B3729"/>
    <w:rsid w:val="002B4BD3"/>
    <w:rsid w:val="002B69C7"/>
    <w:rsid w:val="002C7706"/>
    <w:rsid w:val="002D0152"/>
    <w:rsid w:val="002D09E9"/>
    <w:rsid w:val="002D42A8"/>
    <w:rsid w:val="002D4478"/>
    <w:rsid w:val="002D462C"/>
    <w:rsid w:val="002D63DB"/>
    <w:rsid w:val="002D7CCF"/>
    <w:rsid w:val="002E0EF5"/>
    <w:rsid w:val="002E12B0"/>
    <w:rsid w:val="002E1E32"/>
    <w:rsid w:val="002E24E6"/>
    <w:rsid w:val="002E7801"/>
    <w:rsid w:val="002E7A7A"/>
    <w:rsid w:val="002F202D"/>
    <w:rsid w:val="002F3B24"/>
    <w:rsid w:val="002F424C"/>
    <w:rsid w:val="003024C2"/>
    <w:rsid w:val="00303403"/>
    <w:rsid w:val="0030362E"/>
    <w:rsid w:val="00303B6D"/>
    <w:rsid w:val="00304B51"/>
    <w:rsid w:val="00305134"/>
    <w:rsid w:val="003055C3"/>
    <w:rsid w:val="00313677"/>
    <w:rsid w:val="00323A8C"/>
    <w:rsid w:val="0032520B"/>
    <w:rsid w:val="00327846"/>
    <w:rsid w:val="00332AFE"/>
    <w:rsid w:val="003362B7"/>
    <w:rsid w:val="003567CF"/>
    <w:rsid w:val="00360021"/>
    <w:rsid w:val="0036099F"/>
    <w:rsid w:val="00362397"/>
    <w:rsid w:val="00362EFC"/>
    <w:rsid w:val="0036314D"/>
    <w:rsid w:val="0036538E"/>
    <w:rsid w:val="00374DEC"/>
    <w:rsid w:val="00376ADF"/>
    <w:rsid w:val="003770B0"/>
    <w:rsid w:val="00377AF7"/>
    <w:rsid w:val="0038207E"/>
    <w:rsid w:val="00382255"/>
    <w:rsid w:val="00383376"/>
    <w:rsid w:val="00384AC4"/>
    <w:rsid w:val="0038584F"/>
    <w:rsid w:val="0038617D"/>
    <w:rsid w:val="003864EA"/>
    <w:rsid w:val="00387DAC"/>
    <w:rsid w:val="00390397"/>
    <w:rsid w:val="00394A6C"/>
    <w:rsid w:val="00395177"/>
    <w:rsid w:val="00397816"/>
    <w:rsid w:val="00397DB5"/>
    <w:rsid w:val="003A055E"/>
    <w:rsid w:val="003A0CA7"/>
    <w:rsid w:val="003A10A1"/>
    <w:rsid w:val="003A1F7C"/>
    <w:rsid w:val="003A4D24"/>
    <w:rsid w:val="003A5EE3"/>
    <w:rsid w:val="003B2D97"/>
    <w:rsid w:val="003B5C92"/>
    <w:rsid w:val="003D102F"/>
    <w:rsid w:val="003E1064"/>
    <w:rsid w:val="003E1BAC"/>
    <w:rsid w:val="003E5D23"/>
    <w:rsid w:val="003E7D82"/>
    <w:rsid w:val="003F2FCA"/>
    <w:rsid w:val="003F3586"/>
    <w:rsid w:val="003F35CE"/>
    <w:rsid w:val="003F4566"/>
    <w:rsid w:val="003F622A"/>
    <w:rsid w:val="0040188C"/>
    <w:rsid w:val="00403761"/>
    <w:rsid w:val="004038C1"/>
    <w:rsid w:val="004043C3"/>
    <w:rsid w:val="0040581F"/>
    <w:rsid w:val="004107CF"/>
    <w:rsid w:val="00411B75"/>
    <w:rsid w:val="00413838"/>
    <w:rsid w:val="00416E2F"/>
    <w:rsid w:val="00417300"/>
    <w:rsid w:val="004210C8"/>
    <w:rsid w:val="00426203"/>
    <w:rsid w:val="00427350"/>
    <w:rsid w:val="00430373"/>
    <w:rsid w:val="00433310"/>
    <w:rsid w:val="00436513"/>
    <w:rsid w:val="00441B06"/>
    <w:rsid w:val="00452697"/>
    <w:rsid w:val="00453006"/>
    <w:rsid w:val="004568BA"/>
    <w:rsid w:val="004666C2"/>
    <w:rsid w:val="0047283B"/>
    <w:rsid w:val="004754B2"/>
    <w:rsid w:val="00476810"/>
    <w:rsid w:val="0048070D"/>
    <w:rsid w:val="0048115B"/>
    <w:rsid w:val="004828CA"/>
    <w:rsid w:val="00484115"/>
    <w:rsid w:val="004859AD"/>
    <w:rsid w:val="00494851"/>
    <w:rsid w:val="00495F47"/>
    <w:rsid w:val="004A1DF9"/>
    <w:rsid w:val="004A41E4"/>
    <w:rsid w:val="004B0D9B"/>
    <w:rsid w:val="004B2498"/>
    <w:rsid w:val="004B5F9C"/>
    <w:rsid w:val="004C2294"/>
    <w:rsid w:val="004C376A"/>
    <w:rsid w:val="004C4E07"/>
    <w:rsid w:val="004C62F4"/>
    <w:rsid w:val="004D17A5"/>
    <w:rsid w:val="004D66DD"/>
    <w:rsid w:val="004D6DD4"/>
    <w:rsid w:val="004E43FA"/>
    <w:rsid w:val="004E47A5"/>
    <w:rsid w:val="004E4D78"/>
    <w:rsid w:val="004E6192"/>
    <w:rsid w:val="004E63D3"/>
    <w:rsid w:val="004E6498"/>
    <w:rsid w:val="004F1604"/>
    <w:rsid w:val="004F2723"/>
    <w:rsid w:val="004F327F"/>
    <w:rsid w:val="004F37C5"/>
    <w:rsid w:val="004F3F14"/>
    <w:rsid w:val="004F62AE"/>
    <w:rsid w:val="004F6F80"/>
    <w:rsid w:val="00501FE6"/>
    <w:rsid w:val="00505C70"/>
    <w:rsid w:val="00510041"/>
    <w:rsid w:val="00511F1E"/>
    <w:rsid w:val="0051627E"/>
    <w:rsid w:val="0051784B"/>
    <w:rsid w:val="00522910"/>
    <w:rsid w:val="0052342F"/>
    <w:rsid w:val="00531C6A"/>
    <w:rsid w:val="005424FB"/>
    <w:rsid w:val="00542880"/>
    <w:rsid w:val="005442C1"/>
    <w:rsid w:val="0054645F"/>
    <w:rsid w:val="00552032"/>
    <w:rsid w:val="00553963"/>
    <w:rsid w:val="00560A1D"/>
    <w:rsid w:val="00561EC2"/>
    <w:rsid w:val="00563E41"/>
    <w:rsid w:val="00564C7F"/>
    <w:rsid w:val="00571013"/>
    <w:rsid w:val="005712B2"/>
    <w:rsid w:val="00573680"/>
    <w:rsid w:val="00573BEE"/>
    <w:rsid w:val="005802ED"/>
    <w:rsid w:val="00582C2B"/>
    <w:rsid w:val="00584755"/>
    <w:rsid w:val="005936EC"/>
    <w:rsid w:val="005941DD"/>
    <w:rsid w:val="00595337"/>
    <w:rsid w:val="00595ACA"/>
    <w:rsid w:val="005A3056"/>
    <w:rsid w:val="005A4BEE"/>
    <w:rsid w:val="005A7CF9"/>
    <w:rsid w:val="005B00DB"/>
    <w:rsid w:val="005B1593"/>
    <w:rsid w:val="005B1A65"/>
    <w:rsid w:val="005B34CF"/>
    <w:rsid w:val="005B5C90"/>
    <w:rsid w:val="005B6D27"/>
    <w:rsid w:val="005B797B"/>
    <w:rsid w:val="005C4215"/>
    <w:rsid w:val="005C5602"/>
    <w:rsid w:val="005C6E89"/>
    <w:rsid w:val="005D0ED9"/>
    <w:rsid w:val="005D221A"/>
    <w:rsid w:val="005D53F5"/>
    <w:rsid w:val="005D7887"/>
    <w:rsid w:val="005D7FE5"/>
    <w:rsid w:val="005E22A0"/>
    <w:rsid w:val="005E234F"/>
    <w:rsid w:val="005E2E86"/>
    <w:rsid w:val="005E7798"/>
    <w:rsid w:val="005F6394"/>
    <w:rsid w:val="005F7B93"/>
    <w:rsid w:val="006100F9"/>
    <w:rsid w:val="00612398"/>
    <w:rsid w:val="006204A0"/>
    <w:rsid w:val="00621F07"/>
    <w:rsid w:val="00622648"/>
    <w:rsid w:val="00624049"/>
    <w:rsid w:val="00626A49"/>
    <w:rsid w:val="006277B9"/>
    <w:rsid w:val="00631022"/>
    <w:rsid w:val="00633BE3"/>
    <w:rsid w:val="00637FD7"/>
    <w:rsid w:val="00641C8E"/>
    <w:rsid w:val="00642AD3"/>
    <w:rsid w:val="006433F7"/>
    <w:rsid w:val="00645499"/>
    <w:rsid w:val="00645665"/>
    <w:rsid w:val="00645E03"/>
    <w:rsid w:val="0065002E"/>
    <w:rsid w:val="006543CB"/>
    <w:rsid w:val="0065765D"/>
    <w:rsid w:val="006647A1"/>
    <w:rsid w:val="0066622B"/>
    <w:rsid w:val="00670F07"/>
    <w:rsid w:val="00671FE4"/>
    <w:rsid w:val="0067754C"/>
    <w:rsid w:val="00683941"/>
    <w:rsid w:val="00685650"/>
    <w:rsid w:val="006870C4"/>
    <w:rsid w:val="006879CA"/>
    <w:rsid w:val="0069006B"/>
    <w:rsid w:val="0069072F"/>
    <w:rsid w:val="006A0145"/>
    <w:rsid w:val="006A4460"/>
    <w:rsid w:val="006A47BD"/>
    <w:rsid w:val="006A54F4"/>
    <w:rsid w:val="006B0D76"/>
    <w:rsid w:val="006B5B84"/>
    <w:rsid w:val="006B5E1F"/>
    <w:rsid w:val="006C1A2B"/>
    <w:rsid w:val="006C24E4"/>
    <w:rsid w:val="006C3DF2"/>
    <w:rsid w:val="006C49BA"/>
    <w:rsid w:val="006D0196"/>
    <w:rsid w:val="006D303D"/>
    <w:rsid w:val="006D37FB"/>
    <w:rsid w:val="006D4933"/>
    <w:rsid w:val="006D69E8"/>
    <w:rsid w:val="006E2548"/>
    <w:rsid w:val="006E3342"/>
    <w:rsid w:val="006E3CA4"/>
    <w:rsid w:val="006E3F5D"/>
    <w:rsid w:val="006E75D6"/>
    <w:rsid w:val="006F0C17"/>
    <w:rsid w:val="006F54FC"/>
    <w:rsid w:val="006F67E1"/>
    <w:rsid w:val="006F6901"/>
    <w:rsid w:val="006F6C00"/>
    <w:rsid w:val="006F6EB3"/>
    <w:rsid w:val="00700DC9"/>
    <w:rsid w:val="00703DC5"/>
    <w:rsid w:val="00706270"/>
    <w:rsid w:val="00710055"/>
    <w:rsid w:val="0071039C"/>
    <w:rsid w:val="007139CB"/>
    <w:rsid w:val="00714FBE"/>
    <w:rsid w:val="00717A4C"/>
    <w:rsid w:val="00724544"/>
    <w:rsid w:val="00726355"/>
    <w:rsid w:val="007268FA"/>
    <w:rsid w:val="00727A96"/>
    <w:rsid w:val="00736A50"/>
    <w:rsid w:val="00736A84"/>
    <w:rsid w:val="00741CB4"/>
    <w:rsid w:val="00744B75"/>
    <w:rsid w:val="00755F89"/>
    <w:rsid w:val="007617EA"/>
    <w:rsid w:val="00764188"/>
    <w:rsid w:val="0077206D"/>
    <w:rsid w:val="00772167"/>
    <w:rsid w:val="00772220"/>
    <w:rsid w:val="00772BCD"/>
    <w:rsid w:val="00774992"/>
    <w:rsid w:val="00776D2D"/>
    <w:rsid w:val="00781C2B"/>
    <w:rsid w:val="0078560B"/>
    <w:rsid w:val="00792DF5"/>
    <w:rsid w:val="00797DCD"/>
    <w:rsid w:val="007A2FA8"/>
    <w:rsid w:val="007A75EF"/>
    <w:rsid w:val="007C032B"/>
    <w:rsid w:val="007C089F"/>
    <w:rsid w:val="007C0BD4"/>
    <w:rsid w:val="007C2FB9"/>
    <w:rsid w:val="007C3550"/>
    <w:rsid w:val="007C4A3D"/>
    <w:rsid w:val="007D241B"/>
    <w:rsid w:val="007D2C8E"/>
    <w:rsid w:val="007D6C20"/>
    <w:rsid w:val="007D7491"/>
    <w:rsid w:val="007E06CC"/>
    <w:rsid w:val="007E0B32"/>
    <w:rsid w:val="007E196A"/>
    <w:rsid w:val="007E2AEE"/>
    <w:rsid w:val="007E2C4B"/>
    <w:rsid w:val="007E622F"/>
    <w:rsid w:val="007F0DA3"/>
    <w:rsid w:val="007F0DCF"/>
    <w:rsid w:val="007F19DC"/>
    <w:rsid w:val="007F1F26"/>
    <w:rsid w:val="007F29C3"/>
    <w:rsid w:val="007F606A"/>
    <w:rsid w:val="007F6492"/>
    <w:rsid w:val="007F7844"/>
    <w:rsid w:val="0080089B"/>
    <w:rsid w:val="00813ED2"/>
    <w:rsid w:val="008152D9"/>
    <w:rsid w:val="00815CB1"/>
    <w:rsid w:val="0081670A"/>
    <w:rsid w:val="00816F70"/>
    <w:rsid w:val="00821AE2"/>
    <w:rsid w:val="00821BFF"/>
    <w:rsid w:val="00821F81"/>
    <w:rsid w:val="008279DB"/>
    <w:rsid w:val="00832898"/>
    <w:rsid w:val="00834B99"/>
    <w:rsid w:val="008379AA"/>
    <w:rsid w:val="00841982"/>
    <w:rsid w:val="008451D0"/>
    <w:rsid w:val="00846722"/>
    <w:rsid w:val="00847229"/>
    <w:rsid w:val="0085303F"/>
    <w:rsid w:val="00853ABE"/>
    <w:rsid w:val="00853B5A"/>
    <w:rsid w:val="00854259"/>
    <w:rsid w:val="00854D17"/>
    <w:rsid w:val="008555AA"/>
    <w:rsid w:val="00855BC4"/>
    <w:rsid w:val="0085672A"/>
    <w:rsid w:val="0085707B"/>
    <w:rsid w:val="00860E31"/>
    <w:rsid w:val="0086266C"/>
    <w:rsid w:val="008632B6"/>
    <w:rsid w:val="00866AE6"/>
    <w:rsid w:val="00867625"/>
    <w:rsid w:val="00871BD4"/>
    <w:rsid w:val="00872372"/>
    <w:rsid w:val="0087250D"/>
    <w:rsid w:val="0087294A"/>
    <w:rsid w:val="00877684"/>
    <w:rsid w:val="00880C97"/>
    <w:rsid w:val="00885637"/>
    <w:rsid w:val="00890618"/>
    <w:rsid w:val="0089138A"/>
    <w:rsid w:val="00891639"/>
    <w:rsid w:val="00895243"/>
    <w:rsid w:val="00895D61"/>
    <w:rsid w:val="008A3F83"/>
    <w:rsid w:val="008A4C00"/>
    <w:rsid w:val="008A543C"/>
    <w:rsid w:val="008A5CCB"/>
    <w:rsid w:val="008A6D93"/>
    <w:rsid w:val="008B05C6"/>
    <w:rsid w:val="008B5296"/>
    <w:rsid w:val="008B5310"/>
    <w:rsid w:val="008B5ABE"/>
    <w:rsid w:val="008B6EF1"/>
    <w:rsid w:val="008C0B55"/>
    <w:rsid w:val="008C3C77"/>
    <w:rsid w:val="008C5886"/>
    <w:rsid w:val="008C67AB"/>
    <w:rsid w:val="008C7113"/>
    <w:rsid w:val="008D0F8A"/>
    <w:rsid w:val="008D14D1"/>
    <w:rsid w:val="008D26F0"/>
    <w:rsid w:val="008D4987"/>
    <w:rsid w:val="008E1E9C"/>
    <w:rsid w:val="008E25E0"/>
    <w:rsid w:val="008E327F"/>
    <w:rsid w:val="008E51B3"/>
    <w:rsid w:val="008E5B29"/>
    <w:rsid w:val="008E7DA1"/>
    <w:rsid w:val="008F1C90"/>
    <w:rsid w:val="008F2520"/>
    <w:rsid w:val="008F3AFD"/>
    <w:rsid w:val="008F58E6"/>
    <w:rsid w:val="00900B33"/>
    <w:rsid w:val="00901D4F"/>
    <w:rsid w:val="00905994"/>
    <w:rsid w:val="00911EB4"/>
    <w:rsid w:val="00912975"/>
    <w:rsid w:val="00912E06"/>
    <w:rsid w:val="00915CC6"/>
    <w:rsid w:val="0091629E"/>
    <w:rsid w:val="00922963"/>
    <w:rsid w:val="009239B6"/>
    <w:rsid w:val="009276A9"/>
    <w:rsid w:val="00927DE8"/>
    <w:rsid w:val="00940091"/>
    <w:rsid w:val="0094025E"/>
    <w:rsid w:val="00943559"/>
    <w:rsid w:val="00944855"/>
    <w:rsid w:val="00945712"/>
    <w:rsid w:val="00947FAF"/>
    <w:rsid w:val="0095543F"/>
    <w:rsid w:val="00955F1D"/>
    <w:rsid w:val="00957850"/>
    <w:rsid w:val="00961E04"/>
    <w:rsid w:val="00963BC6"/>
    <w:rsid w:val="009650A5"/>
    <w:rsid w:val="009716C8"/>
    <w:rsid w:val="009819D4"/>
    <w:rsid w:val="00983304"/>
    <w:rsid w:val="009835A1"/>
    <w:rsid w:val="00984C28"/>
    <w:rsid w:val="00984E1F"/>
    <w:rsid w:val="00990F66"/>
    <w:rsid w:val="009915D5"/>
    <w:rsid w:val="009937CE"/>
    <w:rsid w:val="009938A0"/>
    <w:rsid w:val="00994D4D"/>
    <w:rsid w:val="009A1610"/>
    <w:rsid w:val="009A4C06"/>
    <w:rsid w:val="009A6892"/>
    <w:rsid w:val="009B0A02"/>
    <w:rsid w:val="009B4A00"/>
    <w:rsid w:val="009B565A"/>
    <w:rsid w:val="009B6749"/>
    <w:rsid w:val="009C4869"/>
    <w:rsid w:val="009C5049"/>
    <w:rsid w:val="009C7285"/>
    <w:rsid w:val="009D47BE"/>
    <w:rsid w:val="009E1D18"/>
    <w:rsid w:val="009E2568"/>
    <w:rsid w:val="009E37DE"/>
    <w:rsid w:val="009E3BAC"/>
    <w:rsid w:val="009F1530"/>
    <w:rsid w:val="009F3743"/>
    <w:rsid w:val="009F4B48"/>
    <w:rsid w:val="009F75DF"/>
    <w:rsid w:val="00A02A02"/>
    <w:rsid w:val="00A02EB7"/>
    <w:rsid w:val="00A03BF4"/>
    <w:rsid w:val="00A075E7"/>
    <w:rsid w:val="00A13C97"/>
    <w:rsid w:val="00A154CE"/>
    <w:rsid w:val="00A1636F"/>
    <w:rsid w:val="00A20004"/>
    <w:rsid w:val="00A222CE"/>
    <w:rsid w:val="00A22833"/>
    <w:rsid w:val="00A23FA5"/>
    <w:rsid w:val="00A24FD4"/>
    <w:rsid w:val="00A26F10"/>
    <w:rsid w:val="00A27F49"/>
    <w:rsid w:val="00A37A7A"/>
    <w:rsid w:val="00A42036"/>
    <w:rsid w:val="00A43B37"/>
    <w:rsid w:val="00A444FA"/>
    <w:rsid w:val="00A47A92"/>
    <w:rsid w:val="00A56301"/>
    <w:rsid w:val="00A566EB"/>
    <w:rsid w:val="00A607F5"/>
    <w:rsid w:val="00A60AFC"/>
    <w:rsid w:val="00A63A64"/>
    <w:rsid w:val="00A64484"/>
    <w:rsid w:val="00A7157E"/>
    <w:rsid w:val="00A754EF"/>
    <w:rsid w:val="00A758DB"/>
    <w:rsid w:val="00A761B7"/>
    <w:rsid w:val="00A81312"/>
    <w:rsid w:val="00A83DE6"/>
    <w:rsid w:val="00A84D7A"/>
    <w:rsid w:val="00A860BB"/>
    <w:rsid w:val="00A86A7F"/>
    <w:rsid w:val="00A87BED"/>
    <w:rsid w:val="00A94D88"/>
    <w:rsid w:val="00A9693B"/>
    <w:rsid w:val="00A975BD"/>
    <w:rsid w:val="00AA1844"/>
    <w:rsid w:val="00AA3C5C"/>
    <w:rsid w:val="00AA4F88"/>
    <w:rsid w:val="00AB10A5"/>
    <w:rsid w:val="00AB2BFE"/>
    <w:rsid w:val="00AB3CD1"/>
    <w:rsid w:val="00AB4535"/>
    <w:rsid w:val="00AC5579"/>
    <w:rsid w:val="00AC7321"/>
    <w:rsid w:val="00AD0509"/>
    <w:rsid w:val="00AD0B13"/>
    <w:rsid w:val="00AD19C6"/>
    <w:rsid w:val="00AD710B"/>
    <w:rsid w:val="00AD770D"/>
    <w:rsid w:val="00AE761A"/>
    <w:rsid w:val="00AE77C4"/>
    <w:rsid w:val="00AF1A8C"/>
    <w:rsid w:val="00AF2410"/>
    <w:rsid w:val="00AF2CB2"/>
    <w:rsid w:val="00AF305A"/>
    <w:rsid w:val="00AF4F28"/>
    <w:rsid w:val="00B02465"/>
    <w:rsid w:val="00B02C7E"/>
    <w:rsid w:val="00B06405"/>
    <w:rsid w:val="00B10526"/>
    <w:rsid w:val="00B1060D"/>
    <w:rsid w:val="00B10BAF"/>
    <w:rsid w:val="00B11772"/>
    <w:rsid w:val="00B24063"/>
    <w:rsid w:val="00B27A2A"/>
    <w:rsid w:val="00B30A8D"/>
    <w:rsid w:val="00B34467"/>
    <w:rsid w:val="00B37846"/>
    <w:rsid w:val="00B40F41"/>
    <w:rsid w:val="00B42361"/>
    <w:rsid w:val="00B42CA9"/>
    <w:rsid w:val="00B43887"/>
    <w:rsid w:val="00B44BBD"/>
    <w:rsid w:val="00B475C9"/>
    <w:rsid w:val="00B52971"/>
    <w:rsid w:val="00B52F2D"/>
    <w:rsid w:val="00B5385B"/>
    <w:rsid w:val="00B578A1"/>
    <w:rsid w:val="00B57EBB"/>
    <w:rsid w:val="00B630C1"/>
    <w:rsid w:val="00B632E5"/>
    <w:rsid w:val="00B63656"/>
    <w:rsid w:val="00B6693A"/>
    <w:rsid w:val="00B7027F"/>
    <w:rsid w:val="00B72431"/>
    <w:rsid w:val="00B85248"/>
    <w:rsid w:val="00B85BF3"/>
    <w:rsid w:val="00B91791"/>
    <w:rsid w:val="00B93373"/>
    <w:rsid w:val="00B96CB9"/>
    <w:rsid w:val="00BA6BB0"/>
    <w:rsid w:val="00BB579C"/>
    <w:rsid w:val="00BB6771"/>
    <w:rsid w:val="00BB6800"/>
    <w:rsid w:val="00BB6D1B"/>
    <w:rsid w:val="00BC2AFE"/>
    <w:rsid w:val="00BC3D7E"/>
    <w:rsid w:val="00BC44DD"/>
    <w:rsid w:val="00BC6696"/>
    <w:rsid w:val="00BC75E6"/>
    <w:rsid w:val="00BD091D"/>
    <w:rsid w:val="00BD2125"/>
    <w:rsid w:val="00BD2E48"/>
    <w:rsid w:val="00BD2E86"/>
    <w:rsid w:val="00BE4671"/>
    <w:rsid w:val="00BE5210"/>
    <w:rsid w:val="00BE5607"/>
    <w:rsid w:val="00BE5DF9"/>
    <w:rsid w:val="00BF34E2"/>
    <w:rsid w:val="00BF5084"/>
    <w:rsid w:val="00BF7D00"/>
    <w:rsid w:val="00C01886"/>
    <w:rsid w:val="00C03158"/>
    <w:rsid w:val="00C06147"/>
    <w:rsid w:val="00C138DD"/>
    <w:rsid w:val="00C14761"/>
    <w:rsid w:val="00C1580A"/>
    <w:rsid w:val="00C17E5D"/>
    <w:rsid w:val="00C2030A"/>
    <w:rsid w:val="00C23C38"/>
    <w:rsid w:val="00C26F2A"/>
    <w:rsid w:val="00C31272"/>
    <w:rsid w:val="00C32336"/>
    <w:rsid w:val="00C32522"/>
    <w:rsid w:val="00C45BE1"/>
    <w:rsid w:val="00C462CC"/>
    <w:rsid w:val="00C51E61"/>
    <w:rsid w:val="00C52F61"/>
    <w:rsid w:val="00C55144"/>
    <w:rsid w:val="00C55BC4"/>
    <w:rsid w:val="00C6368D"/>
    <w:rsid w:val="00C63C3D"/>
    <w:rsid w:val="00C66391"/>
    <w:rsid w:val="00C678DC"/>
    <w:rsid w:val="00C7265B"/>
    <w:rsid w:val="00C7294F"/>
    <w:rsid w:val="00C74B83"/>
    <w:rsid w:val="00C75CBA"/>
    <w:rsid w:val="00C765D8"/>
    <w:rsid w:val="00C808BA"/>
    <w:rsid w:val="00C85FF6"/>
    <w:rsid w:val="00C8686C"/>
    <w:rsid w:val="00C86D77"/>
    <w:rsid w:val="00C913FA"/>
    <w:rsid w:val="00C92C6A"/>
    <w:rsid w:val="00C95720"/>
    <w:rsid w:val="00C96DDB"/>
    <w:rsid w:val="00CA0CAA"/>
    <w:rsid w:val="00CA4FD5"/>
    <w:rsid w:val="00CA5745"/>
    <w:rsid w:val="00CA7169"/>
    <w:rsid w:val="00CB0118"/>
    <w:rsid w:val="00CB0A63"/>
    <w:rsid w:val="00CB368D"/>
    <w:rsid w:val="00CB4B56"/>
    <w:rsid w:val="00CB5BF9"/>
    <w:rsid w:val="00CB7577"/>
    <w:rsid w:val="00CC38EE"/>
    <w:rsid w:val="00CC3A18"/>
    <w:rsid w:val="00CC5675"/>
    <w:rsid w:val="00CD26A2"/>
    <w:rsid w:val="00CD62C9"/>
    <w:rsid w:val="00CE015E"/>
    <w:rsid w:val="00CE0C99"/>
    <w:rsid w:val="00CE1A2F"/>
    <w:rsid w:val="00CE2544"/>
    <w:rsid w:val="00CE43EC"/>
    <w:rsid w:val="00CF0664"/>
    <w:rsid w:val="00CF3EFD"/>
    <w:rsid w:val="00CF620A"/>
    <w:rsid w:val="00D019FD"/>
    <w:rsid w:val="00D021CA"/>
    <w:rsid w:val="00D052E7"/>
    <w:rsid w:val="00D055F6"/>
    <w:rsid w:val="00D07D4A"/>
    <w:rsid w:val="00D10929"/>
    <w:rsid w:val="00D117F4"/>
    <w:rsid w:val="00D12DEA"/>
    <w:rsid w:val="00D150A2"/>
    <w:rsid w:val="00D165BE"/>
    <w:rsid w:val="00D1694D"/>
    <w:rsid w:val="00D171DD"/>
    <w:rsid w:val="00D2007C"/>
    <w:rsid w:val="00D21A9B"/>
    <w:rsid w:val="00D22F29"/>
    <w:rsid w:val="00D24D3C"/>
    <w:rsid w:val="00D2524F"/>
    <w:rsid w:val="00D27D95"/>
    <w:rsid w:val="00D30864"/>
    <w:rsid w:val="00D337A5"/>
    <w:rsid w:val="00D34827"/>
    <w:rsid w:val="00D34AF6"/>
    <w:rsid w:val="00D35ADB"/>
    <w:rsid w:val="00D428DD"/>
    <w:rsid w:val="00D449FA"/>
    <w:rsid w:val="00D45F8D"/>
    <w:rsid w:val="00D5013D"/>
    <w:rsid w:val="00D533D1"/>
    <w:rsid w:val="00D54C17"/>
    <w:rsid w:val="00D61FE2"/>
    <w:rsid w:val="00D65680"/>
    <w:rsid w:val="00D673E0"/>
    <w:rsid w:val="00D81B88"/>
    <w:rsid w:val="00D90085"/>
    <w:rsid w:val="00D96260"/>
    <w:rsid w:val="00DA1876"/>
    <w:rsid w:val="00DA22A5"/>
    <w:rsid w:val="00DA30CD"/>
    <w:rsid w:val="00DA4615"/>
    <w:rsid w:val="00DB00F0"/>
    <w:rsid w:val="00DB07E1"/>
    <w:rsid w:val="00DB121D"/>
    <w:rsid w:val="00DB1D7A"/>
    <w:rsid w:val="00DB35D4"/>
    <w:rsid w:val="00DB3D89"/>
    <w:rsid w:val="00DB554F"/>
    <w:rsid w:val="00DB5560"/>
    <w:rsid w:val="00DC1C0E"/>
    <w:rsid w:val="00DC53EB"/>
    <w:rsid w:val="00DC6642"/>
    <w:rsid w:val="00DC6E8D"/>
    <w:rsid w:val="00DD0C81"/>
    <w:rsid w:val="00DD1A1F"/>
    <w:rsid w:val="00DE0FA8"/>
    <w:rsid w:val="00DE2403"/>
    <w:rsid w:val="00DF584A"/>
    <w:rsid w:val="00E0246F"/>
    <w:rsid w:val="00E02F38"/>
    <w:rsid w:val="00E0360C"/>
    <w:rsid w:val="00E049ED"/>
    <w:rsid w:val="00E06691"/>
    <w:rsid w:val="00E06DE3"/>
    <w:rsid w:val="00E071A2"/>
    <w:rsid w:val="00E077A2"/>
    <w:rsid w:val="00E07F3E"/>
    <w:rsid w:val="00E101AC"/>
    <w:rsid w:val="00E230BF"/>
    <w:rsid w:val="00E24222"/>
    <w:rsid w:val="00E27704"/>
    <w:rsid w:val="00E3047D"/>
    <w:rsid w:val="00E322F0"/>
    <w:rsid w:val="00E32D81"/>
    <w:rsid w:val="00E3662E"/>
    <w:rsid w:val="00E369D3"/>
    <w:rsid w:val="00E40AA8"/>
    <w:rsid w:val="00E42FB4"/>
    <w:rsid w:val="00E4339E"/>
    <w:rsid w:val="00E53345"/>
    <w:rsid w:val="00E60797"/>
    <w:rsid w:val="00E6096B"/>
    <w:rsid w:val="00E627F0"/>
    <w:rsid w:val="00E63744"/>
    <w:rsid w:val="00E66F15"/>
    <w:rsid w:val="00E753AC"/>
    <w:rsid w:val="00E759FE"/>
    <w:rsid w:val="00E81A18"/>
    <w:rsid w:val="00E838E3"/>
    <w:rsid w:val="00E84F52"/>
    <w:rsid w:val="00E93389"/>
    <w:rsid w:val="00E97A41"/>
    <w:rsid w:val="00EA177F"/>
    <w:rsid w:val="00EA1883"/>
    <w:rsid w:val="00EA1EEA"/>
    <w:rsid w:val="00EA6C77"/>
    <w:rsid w:val="00EB111C"/>
    <w:rsid w:val="00EC0EF1"/>
    <w:rsid w:val="00EC644C"/>
    <w:rsid w:val="00ED40BA"/>
    <w:rsid w:val="00ED496A"/>
    <w:rsid w:val="00ED67CA"/>
    <w:rsid w:val="00EE29A9"/>
    <w:rsid w:val="00EE3DDE"/>
    <w:rsid w:val="00EF29F8"/>
    <w:rsid w:val="00EF7233"/>
    <w:rsid w:val="00F033BF"/>
    <w:rsid w:val="00F0762A"/>
    <w:rsid w:val="00F1063F"/>
    <w:rsid w:val="00F118B0"/>
    <w:rsid w:val="00F155E9"/>
    <w:rsid w:val="00F2236D"/>
    <w:rsid w:val="00F2251E"/>
    <w:rsid w:val="00F26842"/>
    <w:rsid w:val="00F270B7"/>
    <w:rsid w:val="00F33D6E"/>
    <w:rsid w:val="00F364D8"/>
    <w:rsid w:val="00F36B5C"/>
    <w:rsid w:val="00F37F86"/>
    <w:rsid w:val="00F413FB"/>
    <w:rsid w:val="00F4743D"/>
    <w:rsid w:val="00F510C5"/>
    <w:rsid w:val="00F51E59"/>
    <w:rsid w:val="00F5380E"/>
    <w:rsid w:val="00F53EB9"/>
    <w:rsid w:val="00F57E20"/>
    <w:rsid w:val="00F6188D"/>
    <w:rsid w:val="00F67B1D"/>
    <w:rsid w:val="00F710A7"/>
    <w:rsid w:val="00F75A17"/>
    <w:rsid w:val="00F84D89"/>
    <w:rsid w:val="00F85208"/>
    <w:rsid w:val="00F85BDD"/>
    <w:rsid w:val="00F86C1C"/>
    <w:rsid w:val="00F9156F"/>
    <w:rsid w:val="00F92EF2"/>
    <w:rsid w:val="00F93B67"/>
    <w:rsid w:val="00F95A55"/>
    <w:rsid w:val="00FA2268"/>
    <w:rsid w:val="00FA69A3"/>
    <w:rsid w:val="00FB0E94"/>
    <w:rsid w:val="00FB13A2"/>
    <w:rsid w:val="00FB388E"/>
    <w:rsid w:val="00FB62B5"/>
    <w:rsid w:val="00FE2E93"/>
    <w:rsid w:val="00FE36D4"/>
    <w:rsid w:val="00FE3BAE"/>
    <w:rsid w:val="00FE4D8E"/>
    <w:rsid w:val="00FF0507"/>
    <w:rsid w:val="00FF1078"/>
    <w:rsid w:val="00FF15D4"/>
    <w:rsid w:val="00FF2CFF"/>
    <w:rsid w:val="00FF5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5:docId w15:val="{5E80176C-57DE-4AEC-9BA1-7A6BBAC5F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4B48"/>
    <w:pPr>
      <w:spacing w:after="160"/>
    </w:pPr>
    <w:rPr>
      <w:rFonts w:cs="Calibri"/>
      <w:sz w:val="24"/>
      <w:szCs w:val="24"/>
    </w:rPr>
  </w:style>
  <w:style w:type="paragraph" w:styleId="Overskrift1">
    <w:name w:val="heading 1"/>
    <w:basedOn w:val="Normal"/>
    <w:next w:val="Normal"/>
    <w:link w:val="Overskrift1Tegn"/>
    <w:uiPriority w:val="99"/>
    <w:qFormat/>
    <w:rsid w:val="002D42A8"/>
    <w:pPr>
      <w:keepNext/>
      <w:keepLines/>
      <w:spacing w:before="480" w:after="60"/>
      <w:outlineLvl w:val="0"/>
    </w:pPr>
    <w:rPr>
      <w:b/>
      <w:bCs/>
      <w:sz w:val="28"/>
      <w:szCs w:val="28"/>
    </w:rPr>
  </w:style>
  <w:style w:type="paragraph" w:styleId="Overskrift2">
    <w:name w:val="heading 2"/>
    <w:basedOn w:val="Overskrift1"/>
    <w:next w:val="Normal"/>
    <w:link w:val="Overskrift2Tegn"/>
    <w:uiPriority w:val="99"/>
    <w:qFormat/>
    <w:rsid w:val="002611C7"/>
    <w:pPr>
      <w:tabs>
        <w:tab w:val="num" w:pos="1492"/>
      </w:tabs>
      <w:spacing w:before="240" w:after="80"/>
      <w:ind w:left="680" w:hanging="680"/>
      <w:outlineLvl w:val="1"/>
    </w:pPr>
    <w:rPr>
      <w:sz w:val="24"/>
      <w:szCs w:val="24"/>
      <w:lang w:eastAsia="ja-JP"/>
    </w:rPr>
  </w:style>
  <w:style w:type="paragraph" w:styleId="Overskrift3">
    <w:name w:val="heading 3"/>
    <w:basedOn w:val="Overskrift2"/>
    <w:next w:val="Normal"/>
    <w:link w:val="Overskrift3Tegn"/>
    <w:uiPriority w:val="99"/>
    <w:qFormat/>
    <w:rsid w:val="00F53EB9"/>
    <w:pPr>
      <w:tabs>
        <w:tab w:val="clear" w:pos="1492"/>
      </w:tabs>
      <w:spacing w:before="120" w:after="0"/>
      <w:ind w:left="0" w:firstLine="0"/>
      <w:outlineLvl w:val="2"/>
    </w:pPr>
    <w:rPr>
      <w:b w:val="0"/>
      <w:bCs w:val="0"/>
      <w:i/>
      <w:iCs/>
    </w:rPr>
  </w:style>
  <w:style w:type="paragraph" w:styleId="Overskrift4">
    <w:name w:val="heading 4"/>
    <w:basedOn w:val="Normal"/>
    <w:next w:val="Normal"/>
    <w:link w:val="Overskrift4Tegn"/>
    <w:uiPriority w:val="99"/>
    <w:qFormat/>
    <w:rsid w:val="005A4BEE"/>
    <w:pPr>
      <w:keepNext/>
      <w:spacing w:before="240" w:after="60"/>
      <w:outlineLvl w:val="3"/>
    </w:pPr>
  </w:style>
  <w:style w:type="paragraph" w:styleId="Overskrift5">
    <w:name w:val="heading 5"/>
    <w:basedOn w:val="Normal"/>
    <w:next w:val="Normal"/>
    <w:link w:val="Overskrift5Tegn"/>
    <w:uiPriority w:val="99"/>
    <w:qFormat/>
    <w:rsid w:val="009B4A00"/>
    <w:pPr>
      <w:spacing w:before="240" w:after="60"/>
      <w:outlineLvl w:val="4"/>
    </w:pPr>
    <w:rPr>
      <w:b/>
      <w:bCs/>
      <w:i/>
      <w:iCs/>
      <w:sz w:val="26"/>
      <w:szCs w:val="26"/>
      <w:lang w:eastAsia="ja-JP"/>
    </w:rPr>
  </w:style>
  <w:style w:type="paragraph" w:styleId="Overskrift6">
    <w:name w:val="heading 6"/>
    <w:basedOn w:val="Normal"/>
    <w:next w:val="Normal"/>
    <w:link w:val="Overskrift6Tegn"/>
    <w:uiPriority w:val="99"/>
    <w:qFormat/>
    <w:rsid w:val="009B4A00"/>
    <w:pPr>
      <w:spacing w:before="240" w:after="60"/>
      <w:outlineLvl w:val="5"/>
    </w:pPr>
    <w:rPr>
      <w:b/>
      <w:bCs/>
      <w:sz w:val="20"/>
      <w:szCs w:val="20"/>
      <w:lang w:eastAsia="ja-JP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9"/>
    <w:rsid w:val="002D42A8"/>
    <w:rPr>
      <w:rFonts w:ascii="Calibri" w:hAnsi="Calibri" w:cs="Calibri"/>
      <w:b/>
      <w:bCs/>
      <w:sz w:val="28"/>
      <w:szCs w:val="28"/>
      <w:lang w:val="da-DK" w:eastAsia="da-DK"/>
    </w:rPr>
  </w:style>
  <w:style w:type="character" w:customStyle="1" w:styleId="Overskrift2Tegn">
    <w:name w:val="Overskrift 2 Tegn"/>
    <w:basedOn w:val="Standardskrifttypeiafsnit"/>
    <w:link w:val="Overskrift2"/>
    <w:uiPriority w:val="99"/>
    <w:rsid w:val="002611C7"/>
    <w:rPr>
      <w:b/>
      <w:bCs/>
      <w:sz w:val="24"/>
      <w:szCs w:val="24"/>
    </w:rPr>
  </w:style>
  <w:style w:type="character" w:customStyle="1" w:styleId="Overskrift3Tegn">
    <w:name w:val="Overskrift 3 Tegn"/>
    <w:basedOn w:val="Standardskrifttypeiafsnit"/>
    <w:link w:val="Overskrift3"/>
    <w:uiPriority w:val="99"/>
    <w:semiHidden/>
    <w:rsid w:val="005A4BEE"/>
    <w:rPr>
      <w:rFonts w:ascii="Calibri" w:hAnsi="Calibri" w:cs="Calibri"/>
      <w:i/>
      <w:iCs/>
      <w:sz w:val="24"/>
      <w:szCs w:val="24"/>
      <w:lang w:val="da-DK" w:eastAsia="da-DK"/>
    </w:rPr>
  </w:style>
  <w:style w:type="character" w:customStyle="1" w:styleId="Overskrift4Tegn">
    <w:name w:val="Overskrift 4 Tegn"/>
    <w:basedOn w:val="Standardskrifttypeiafsnit"/>
    <w:link w:val="Overskrift4"/>
    <w:uiPriority w:val="99"/>
    <w:semiHidden/>
    <w:rsid w:val="005A4BEE"/>
    <w:rPr>
      <w:rFonts w:ascii="Calibri" w:hAnsi="Calibri" w:cs="Calibri"/>
      <w:sz w:val="24"/>
      <w:szCs w:val="24"/>
      <w:lang w:val="da-DK" w:eastAsia="da-DK"/>
    </w:rPr>
  </w:style>
  <w:style w:type="character" w:customStyle="1" w:styleId="Overskrift5Tegn">
    <w:name w:val="Overskrift 5 Tegn"/>
    <w:basedOn w:val="Standardskrifttypeiafsnit"/>
    <w:link w:val="Overskrift5"/>
    <w:uiPriority w:val="99"/>
    <w:semiHidden/>
    <w:rsid w:val="00703DC5"/>
    <w:rPr>
      <w:rFonts w:ascii="Calibri" w:hAnsi="Calibri" w:cs="Calibri"/>
      <w:b/>
      <w:bCs/>
      <w:i/>
      <w:iCs/>
      <w:sz w:val="26"/>
      <w:szCs w:val="26"/>
    </w:rPr>
  </w:style>
  <w:style w:type="character" w:customStyle="1" w:styleId="Overskrift6Tegn">
    <w:name w:val="Overskrift 6 Tegn"/>
    <w:basedOn w:val="Standardskrifttypeiafsnit"/>
    <w:link w:val="Overskrift6"/>
    <w:uiPriority w:val="99"/>
    <w:semiHidden/>
    <w:rsid w:val="00703DC5"/>
    <w:rPr>
      <w:rFonts w:ascii="Calibri" w:hAnsi="Calibri" w:cs="Calibri"/>
      <w:b/>
      <w:bCs/>
    </w:rPr>
  </w:style>
  <w:style w:type="paragraph" w:styleId="Markeringsbobletekst">
    <w:name w:val="Balloon Text"/>
    <w:basedOn w:val="Normal"/>
    <w:link w:val="MarkeringsbobletekstTegn"/>
    <w:uiPriority w:val="99"/>
    <w:semiHidden/>
    <w:rsid w:val="00D81B88"/>
    <w:pPr>
      <w:spacing w:after="0"/>
    </w:pPr>
    <w:rPr>
      <w:rFonts w:ascii="Tahoma" w:hAnsi="Tahoma" w:cs="Tahoma"/>
      <w:sz w:val="16"/>
      <w:szCs w:val="16"/>
      <w:lang w:eastAsia="ja-JP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81B88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rsid w:val="00D81B88"/>
    <w:pPr>
      <w:tabs>
        <w:tab w:val="center" w:pos="4819"/>
        <w:tab w:val="right" w:pos="9638"/>
      </w:tabs>
      <w:spacing w:after="0"/>
    </w:pPr>
    <w:rPr>
      <w:sz w:val="20"/>
      <w:szCs w:val="20"/>
      <w:lang w:eastAsia="ja-JP"/>
    </w:rPr>
  </w:style>
  <w:style w:type="character" w:customStyle="1" w:styleId="SidehovedTegn">
    <w:name w:val="Sidehoved Tegn"/>
    <w:basedOn w:val="Standardskrifttypeiafsnit"/>
    <w:link w:val="Sidehoved"/>
    <w:uiPriority w:val="99"/>
    <w:rsid w:val="00D81B88"/>
  </w:style>
  <w:style w:type="paragraph" w:styleId="Sidefod">
    <w:name w:val="footer"/>
    <w:basedOn w:val="Normal"/>
    <w:link w:val="SidefodTegn"/>
    <w:uiPriority w:val="99"/>
    <w:rsid w:val="00BE5210"/>
    <w:pPr>
      <w:tabs>
        <w:tab w:val="center" w:pos="4819"/>
        <w:tab w:val="right" w:pos="9638"/>
      </w:tabs>
      <w:spacing w:after="0"/>
    </w:pPr>
    <w:rPr>
      <w:sz w:val="18"/>
      <w:szCs w:val="18"/>
    </w:rPr>
  </w:style>
  <w:style w:type="character" w:customStyle="1" w:styleId="SidefodTegn">
    <w:name w:val="Sidefod Tegn"/>
    <w:basedOn w:val="Standardskrifttypeiafsnit"/>
    <w:link w:val="Sidefod"/>
    <w:uiPriority w:val="99"/>
    <w:rsid w:val="00BE5210"/>
    <w:rPr>
      <w:rFonts w:ascii="Calibri" w:hAnsi="Calibri" w:cs="Calibri"/>
      <w:sz w:val="18"/>
      <w:szCs w:val="18"/>
      <w:lang w:val="da-DK" w:eastAsia="da-DK"/>
    </w:rPr>
  </w:style>
  <w:style w:type="character" w:styleId="Hyperlink">
    <w:name w:val="Hyperlink"/>
    <w:basedOn w:val="Standardskrifttypeiafsnit"/>
    <w:uiPriority w:val="99"/>
    <w:rsid w:val="009B0A02"/>
    <w:rPr>
      <w:color w:val="0000FF"/>
      <w:u w:val="single"/>
    </w:rPr>
  </w:style>
  <w:style w:type="paragraph" w:styleId="Almindeligtekst">
    <w:name w:val="Plain Text"/>
    <w:basedOn w:val="Normal"/>
    <w:link w:val="AlmindeligtekstTegn"/>
    <w:uiPriority w:val="99"/>
    <w:semiHidden/>
    <w:rsid w:val="009938A0"/>
    <w:pPr>
      <w:spacing w:after="0"/>
    </w:pPr>
    <w:rPr>
      <w:sz w:val="21"/>
      <w:szCs w:val="21"/>
      <w:lang w:eastAsia="en-US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9938A0"/>
    <w:rPr>
      <w:rFonts w:ascii="Calibri" w:hAnsi="Calibri" w:cs="Calibri"/>
      <w:sz w:val="21"/>
      <w:szCs w:val="21"/>
      <w:lang w:eastAsia="en-US"/>
    </w:rPr>
  </w:style>
  <w:style w:type="character" w:styleId="Strk">
    <w:name w:val="Strong"/>
    <w:basedOn w:val="Standardskrifttypeiafsnit"/>
    <w:uiPriority w:val="99"/>
    <w:qFormat/>
    <w:rsid w:val="00D12DEA"/>
    <w:rPr>
      <w:b/>
      <w:bCs/>
    </w:rPr>
  </w:style>
  <w:style w:type="paragraph" w:styleId="Titel">
    <w:name w:val="Title"/>
    <w:basedOn w:val="Overskrift1"/>
    <w:next w:val="Normal"/>
    <w:link w:val="TitelTegn"/>
    <w:uiPriority w:val="99"/>
    <w:qFormat/>
    <w:rsid w:val="00922963"/>
    <w:pPr>
      <w:spacing w:before="120" w:after="600"/>
      <w:contextualSpacing/>
    </w:pPr>
  </w:style>
  <w:style w:type="character" w:customStyle="1" w:styleId="TitelTegn">
    <w:name w:val="Titel Tegn"/>
    <w:basedOn w:val="Standardskrifttypeiafsnit"/>
    <w:link w:val="Titel"/>
    <w:uiPriority w:val="99"/>
    <w:rsid w:val="00922963"/>
    <w:rPr>
      <w:rFonts w:ascii="Calibri" w:hAnsi="Calibri" w:cs="Calibri"/>
      <w:b/>
      <w:bCs/>
      <w:sz w:val="28"/>
      <w:szCs w:val="28"/>
      <w:lang w:val="da-DK" w:eastAsia="da-DK"/>
    </w:rPr>
  </w:style>
  <w:style w:type="paragraph" w:styleId="Listeafsnit">
    <w:name w:val="List Paragraph"/>
    <w:basedOn w:val="Normal"/>
    <w:uiPriority w:val="99"/>
    <w:qFormat/>
    <w:rsid w:val="00A758DB"/>
    <w:pPr>
      <w:ind w:left="720"/>
      <w:contextualSpacing/>
    </w:pPr>
  </w:style>
  <w:style w:type="paragraph" w:styleId="Opstilling-punkttegn">
    <w:name w:val="List Bullet"/>
    <w:basedOn w:val="Normal"/>
    <w:autoRedefine/>
    <w:uiPriority w:val="99"/>
    <w:rsid w:val="00CB4B56"/>
    <w:pPr>
      <w:numPr>
        <w:numId w:val="5"/>
      </w:numPr>
      <w:tabs>
        <w:tab w:val="clear" w:pos="360"/>
        <w:tab w:val="left" w:pos="426"/>
      </w:tabs>
      <w:ind w:left="426" w:hanging="283"/>
      <w:contextualSpacing/>
    </w:pPr>
  </w:style>
  <w:style w:type="paragraph" w:styleId="Brdtekst">
    <w:name w:val="Body Text"/>
    <w:basedOn w:val="Normal"/>
    <w:link w:val="BrdtekstTegn"/>
    <w:uiPriority w:val="99"/>
    <w:rsid w:val="00153ED2"/>
    <w:pPr>
      <w:spacing w:after="120"/>
    </w:pPr>
    <w:rPr>
      <w:lang w:eastAsia="ja-JP"/>
    </w:r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703DC5"/>
    <w:rPr>
      <w:sz w:val="24"/>
      <w:szCs w:val="24"/>
    </w:rPr>
  </w:style>
  <w:style w:type="paragraph" w:customStyle="1" w:styleId="BodyQuoteList">
    <w:name w:val="Body_Quote_List"/>
    <w:basedOn w:val="Normal"/>
    <w:uiPriority w:val="99"/>
    <w:rsid w:val="0048070D"/>
    <w:pPr>
      <w:numPr>
        <w:numId w:val="42"/>
      </w:numPr>
    </w:pPr>
  </w:style>
  <w:style w:type="paragraph" w:styleId="Fodnotetekst">
    <w:name w:val="footnote text"/>
    <w:basedOn w:val="Normal"/>
    <w:link w:val="FodnotetekstTegn"/>
    <w:uiPriority w:val="99"/>
    <w:semiHidden/>
    <w:rsid w:val="00C55144"/>
    <w:rPr>
      <w:sz w:val="20"/>
      <w:szCs w:val="20"/>
      <w:lang w:eastAsia="ja-JP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C55144"/>
    <w:rPr>
      <w:sz w:val="20"/>
      <w:szCs w:val="20"/>
    </w:rPr>
  </w:style>
  <w:style w:type="character" w:styleId="Fodnotehenvisning">
    <w:name w:val="footnote reference"/>
    <w:basedOn w:val="Standardskrifttypeiafsnit"/>
    <w:uiPriority w:val="99"/>
    <w:semiHidden/>
    <w:rsid w:val="00C55144"/>
    <w:rPr>
      <w:vertAlign w:val="superscript"/>
    </w:rPr>
  </w:style>
  <w:style w:type="paragraph" w:styleId="Opstilling-punkttegn2">
    <w:name w:val="List Bullet 2"/>
    <w:basedOn w:val="Normal"/>
    <w:uiPriority w:val="99"/>
    <w:semiHidden/>
    <w:rsid w:val="00C55144"/>
    <w:pPr>
      <w:numPr>
        <w:numId w:val="26"/>
      </w:numPr>
      <w:tabs>
        <w:tab w:val="num" w:pos="643"/>
      </w:tabs>
      <w:ind w:left="643"/>
      <w:contextualSpacing/>
    </w:pPr>
  </w:style>
  <w:style w:type="paragraph" w:styleId="Citat">
    <w:name w:val="Quote"/>
    <w:basedOn w:val="Normal"/>
    <w:next w:val="Normal"/>
    <w:link w:val="CitatTegn"/>
    <w:uiPriority w:val="99"/>
    <w:qFormat/>
    <w:rsid w:val="00922963"/>
    <w:pPr>
      <w:spacing w:before="200"/>
      <w:ind w:left="567" w:right="864"/>
    </w:pPr>
    <w:rPr>
      <w:i/>
      <w:iCs/>
      <w:color w:val="404040"/>
      <w:lang w:eastAsia="ja-JP"/>
    </w:rPr>
  </w:style>
  <w:style w:type="character" w:customStyle="1" w:styleId="CitatTegn">
    <w:name w:val="Citat Tegn"/>
    <w:basedOn w:val="Standardskrifttypeiafsnit"/>
    <w:link w:val="Citat"/>
    <w:uiPriority w:val="99"/>
    <w:rsid w:val="00922963"/>
    <w:rPr>
      <w:rFonts w:ascii="Calibri" w:hAnsi="Calibri" w:cs="Calibri"/>
      <w:i/>
      <w:iCs/>
      <w:color w:val="404040"/>
      <w:sz w:val="24"/>
      <w:szCs w:val="24"/>
      <w:lang w:val="da-DK" w:eastAsia="ja-JP"/>
    </w:rPr>
  </w:style>
  <w:style w:type="paragraph" w:customStyle="1" w:styleId="TypografiEfter6pktLinjeafstandMindst14pkt">
    <w:name w:val="Typografi Efter:  6 pkt. Linjeafstand:  Mindst 14 pkt."/>
    <w:basedOn w:val="Normal"/>
    <w:uiPriority w:val="99"/>
    <w:rsid w:val="00CB4B56"/>
    <w:pPr>
      <w:spacing w:after="120" w:line="280" w:lineRule="atLeast"/>
      <w:contextualSpacing/>
    </w:pPr>
  </w:style>
  <w:style w:type="character" w:styleId="Kommentarhenvisning">
    <w:name w:val="annotation reference"/>
    <w:basedOn w:val="Standardskrifttypeiafsnit"/>
    <w:uiPriority w:val="99"/>
    <w:semiHidden/>
    <w:rsid w:val="00C765D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rsid w:val="00C765D8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C765D8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C765D8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C765D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3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8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4788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47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" w:color="FFFFFF"/>
                <w:bottom w:val="none" w:sz="0" w:space="0" w:color="auto"/>
                <w:right w:val="single" w:sz="6" w:space="1" w:color="FFFFFF"/>
              </w:divBdr>
              <w:divsChild>
                <w:div w:id="50247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47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478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478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2478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2478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2478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2478808">
                                              <w:marLeft w:val="0"/>
                                              <w:marRight w:val="0"/>
                                              <w:marTop w:val="4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2478811">
                                                  <w:marLeft w:val="0"/>
                                                  <w:marRight w:val="0"/>
                                                  <w:marTop w:val="2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02478815">
                                                  <w:marLeft w:val="0"/>
                                                  <w:marRight w:val="0"/>
                                                  <w:marTop w:val="2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478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8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47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47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47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47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478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478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2478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2478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2478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2478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2478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24788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24788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24788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24788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24788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24788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79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0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Z-Drev\18099%20Genbrug%20af%20adressedata\Analyser\AdrUdl\MBBL_Kortlaegning_af_myndighedernes_brug_af_adresser_i_udlandet_2012-05-05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CBE65A-6B10-4BB6-9150-2F52F82EF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MBBL_Kortlaegning_af_myndighedernes_brug_af_adresser_i_udlandet_2012-05-05.dotx</Template>
  <TotalTime>0</TotalTime>
  <Pages>3</Pages>
  <Words>1048</Words>
  <Characters>6580</Characters>
  <Application>Microsoft Office Word</Application>
  <DocSecurity>0</DocSecurity>
  <Lines>54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Notat: Orientering om GD2 – Adresseprogrammets resultater 2013-2014</vt:lpstr>
    </vt:vector>
  </TitlesOfParts>
  <Company>InKIT</Company>
  <LinksUpToDate>false</LinksUpToDate>
  <CharactersWithSpaces>7613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Notat: Orientering om GD2 – Adresseprogrammets resultater 2013-2014</dc:title>
  <dc:subject>Notat MBBL</dc:subject>
  <dc:creator>MLI-MBBL,</dc:creator>
  <cp:lastModifiedBy>M. Lind</cp:lastModifiedBy>
  <cp:revision>2</cp:revision>
  <cp:lastPrinted>2015-01-22T07:31:00Z</cp:lastPrinted>
  <dcterms:created xsi:type="dcterms:W3CDTF">2015-01-26T09:25:00Z</dcterms:created>
  <dcterms:modified xsi:type="dcterms:W3CDTF">2015-01-26T09:25:00Z</dcterms:modified>
</cp:coreProperties>
</file>