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8F19D6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2</w:t>
            </w:r>
            <w:r w:rsidR="000D62AC">
              <w:rPr>
                <w:lang w:val="da-DK"/>
              </w:rPr>
              <w:t>7</w:t>
            </w:r>
            <w:bookmarkStart w:id="0" w:name="_GoBack"/>
            <w:bookmarkEnd w:id="0"/>
            <w:r w:rsidR="00125EF6" w:rsidRPr="0015280F">
              <w:rPr>
                <w:lang w:val="da-DK"/>
              </w:rPr>
              <w:t xml:space="preserve">. </w:t>
            </w:r>
            <w:r w:rsidR="00F66379">
              <w:rPr>
                <w:lang w:val="da-DK"/>
              </w:rPr>
              <w:t>november</w:t>
            </w:r>
            <w:r w:rsidR="00125EF6" w:rsidRPr="0015280F">
              <w:rPr>
                <w:lang w:val="da-DK"/>
              </w:rPr>
              <w:t xml:space="preserve"> 2015 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CF1C87" w:rsidRPr="00275697" w:rsidRDefault="00596604" w:rsidP="00CF1C87">
      <w:pPr>
        <w:pStyle w:val="Overskrift1"/>
      </w:pPr>
      <w:r>
        <w:t>Væsentlige risici og emner</w:t>
      </w:r>
    </w:p>
    <w:p w:rsidR="0015280F" w:rsidRDefault="00AB2C86" w:rsidP="0015280F">
      <w:pPr>
        <w:pStyle w:val="Overskrift2"/>
      </w:pPr>
      <w:r>
        <w:t>Problem</w:t>
      </w:r>
    </w:p>
    <w:p w:rsidR="00596604" w:rsidRDefault="00596604" w:rsidP="00596604">
      <w:r>
        <w:t xml:space="preserve">Som en del af den løbende opfølgning på delprogrammets risikoanalyse og delprogrammets fremdrift fremlægges for styregruppen risici og emner, som programledelsen har vurderet kræver styregruppens opmærksomhed. </w:t>
      </w:r>
    </w:p>
    <w:p w:rsidR="0015280F" w:rsidRDefault="00AB2C86" w:rsidP="0015280F">
      <w:pPr>
        <w:pStyle w:val="Overskrift2"/>
      </w:pPr>
      <w:r>
        <w:t>Baggrund</w:t>
      </w:r>
    </w:p>
    <w:p w:rsidR="00596604" w:rsidRDefault="008F19D6" w:rsidP="00596604">
      <w:r>
        <w:t>Adresse</w:t>
      </w:r>
      <w:r w:rsidR="00596604">
        <w:t xml:space="preserve">programmet identificerer løbende en række emner og risici, som har tværgående betydning for delprogrammets projekter. Risici analyseres og beskrives i overensstemmelse med Statens Projektmodels standard for risikohåndtering i risikoregisteret. Emner registreres og behandles i delprogrammets emneliste. Risikoregister og emneliste vedligeholdes i samarbejde med delprogrammets projekter. </w:t>
      </w:r>
    </w:p>
    <w:p w:rsidR="0015280F" w:rsidRPr="005B60C9" w:rsidRDefault="0015280F" w:rsidP="0015280F">
      <w:pPr>
        <w:pStyle w:val="Overskrift2"/>
      </w:pPr>
      <w:r w:rsidRPr="005B60C9">
        <w:t>Løsning</w:t>
      </w:r>
    </w:p>
    <w:p w:rsidR="008E7432" w:rsidRDefault="001B69E3" w:rsidP="0015280F">
      <w:r w:rsidRPr="001B69E3">
        <w:t>Nedenfor</w:t>
      </w:r>
      <w:r>
        <w:t xml:space="preserve"> er listet kritiske risici</w:t>
      </w:r>
      <w:r w:rsidR="00BA6146">
        <w:t xml:space="preserve"> </w:t>
      </w:r>
      <w:r w:rsidR="008F19D6">
        <w:t>og</w:t>
      </w:r>
      <w:r>
        <w:t xml:space="preserve"> emner. </w:t>
      </w:r>
    </w:p>
    <w:p w:rsidR="004B6460" w:rsidRPr="004B6460" w:rsidRDefault="0081384E" w:rsidP="0015280F">
      <w:pPr>
        <w:rPr>
          <w:b/>
        </w:rPr>
      </w:pPr>
      <w:r>
        <w:rPr>
          <w:b/>
        </w:rPr>
        <w:t>Kritiske</w:t>
      </w:r>
      <w:r w:rsidR="004B6460">
        <w:rPr>
          <w:b/>
        </w:rPr>
        <w:t xml:space="preserve"> risici</w:t>
      </w:r>
    </w:p>
    <w:tbl>
      <w:tblPr>
        <w:tblStyle w:val="Tabel-Git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701"/>
        <w:gridCol w:w="851"/>
        <w:gridCol w:w="2551"/>
      </w:tblGrid>
      <w:tr w:rsidR="0033019F" w:rsidRPr="0053281A" w:rsidTr="0033019F">
        <w:trPr>
          <w:trHeight w:val="624"/>
        </w:trPr>
        <w:tc>
          <w:tcPr>
            <w:tcW w:w="709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ID</w:t>
            </w:r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Årsag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Hændelse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Effekt</w:t>
            </w:r>
          </w:p>
        </w:tc>
        <w:tc>
          <w:tcPr>
            <w:tcW w:w="851" w:type="dxa"/>
            <w:shd w:val="clear" w:color="auto" w:fill="BFBFBF" w:themeFill="background1" w:themeFillShade="BF"/>
            <w:hideMark/>
          </w:tcPr>
          <w:p w:rsidR="0053281A" w:rsidRDefault="0053281A" w:rsidP="0053281A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Værdi</w:t>
            </w:r>
          </w:p>
          <w:p w:rsidR="00664693" w:rsidRPr="0053281A" w:rsidRDefault="00664693" w:rsidP="003939C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(</w:t>
            </w:r>
            <w:proofErr w:type="spellStart"/>
            <w:r w:rsidR="003939C9">
              <w:rPr>
                <w:rFonts w:cs="Arial"/>
                <w:b/>
                <w:bCs/>
                <w:color w:val="000000"/>
              </w:rPr>
              <w:t>S</w:t>
            </w:r>
            <w:r>
              <w:rPr>
                <w:rFonts w:cs="Arial"/>
                <w:b/>
                <w:bCs/>
                <w:color w:val="000000"/>
              </w:rPr>
              <w:t>x</w:t>
            </w:r>
            <w:r w:rsidR="003939C9">
              <w:rPr>
                <w:rFonts w:cs="Arial"/>
                <w:b/>
                <w:bCs/>
                <w:color w:val="000000"/>
              </w:rPr>
              <w:t>K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>)</w:t>
            </w:r>
          </w:p>
        </w:tc>
        <w:tc>
          <w:tcPr>
            <w:tcW w:w="2551" w:type="dxa"/>
            <w:shd w:val="clear" w:color="auto" w:fill="BFBFBF" w:themeFill="background1" w:themeFillShade="BF"/>
            <w:hideMark/>
          </w:tcPr>
          <w:p w:rsidR="0053281A" w:rsidRPr="0053281A" w:rsidRDefault="0053281A" w:rsidP="0053281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3281A">
              <w:rPr>
                <w:rFonts w:cs="Arial"/>
                <w:b/>
                <w:bCs/>
                <w:color w:val="000000"/>
              </w:rPr>
              <w:t>Tiltag</w:t>
            </w:r>
          </w:p>
        </w:tc>
      </w:tr>
      <w:tr w:rsidR="00D12ADB" w:rsidRPr="00BA6146" w:rsidTr="0033019F">
        <w:trPr>
          <w:trHeight w:val="1476"/>
        </w:trPr>
        <w:tc>
          <w:tcPr>
            <w:tcW w:w="709" w:type="dxa"/>
            <w:noWrap/>
          </w:tcPr>
          <w:p w:rsidR="00D12ADB" w:rsidRDefault="00D12ADB" w:rsidP="00016FE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A22</w:t>
            </w:r>
          </w:p>
          <w:p w:rsidR="00D12ADB" w:rsidRPr="00BA6146" w:rsidRDefault="00D12ADB" w:rsidP="00016FEE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(Ny)</w:t>
            </w:r>
            <w:r>
              <w:rPr>
                <w:rFonts w:cs="Arial"/>
                <w:color w:val="000000"/>
              </w:rPr>
              <w:br/>
            </w:r>
          </w:p>
        </w:tc>
        <w:tc>
          <w:tcPr>
            <w:tcW w:w="2268" w:type="dxa"/>
          </w:tcPr>
          <w:p w:rsidR="00D12ADB" w:rsidRPr="00BA6146" w:rsidRDefault="00D12ADB" w:rsidP="006B0072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Lovprojektets tidsplan er stram og giver ikke mulighed for yderligere forsinkelser.</w:t>
            </w:r>
          </w:p>
        </w:tc>
        <w:tc>
          <w:tcPr>
            <w:tcW w:w="1559" w:type="dxa"/>
          </w:tcPr>
          <w:p w:rsidR="00D12ADB" w:rsidRPr="00BA6146" w:rsidRDefault="00D12ADB" w:rsidP="006B0072">
            <w:pPr>
              <w:rPr>
                <w:rFonts w:cs="Arial"/>
              </w:rPr>
            </w:pPr>
            <w:r w:rsidRPr="00BA6146">
              <w:rPr>
                <w:rFonts w:cs="Arial"/>
              </w:rPr>
              <w:t>Kvaliteten af lovforslaget forringes.</w:t>
            </w:r>
          </w:p>
          <w:p w:rsidR="00D12ADB" w:rsidRPr="00BA6146" w:rsidRDefault="00D12ADB" w:rsidP="006B007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D12ADB" w:rsidRPr="00BA6146" w:rsidRDefault="00D12ADB" w:rsidP="006B0072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Risiko for ”huller” i hjemlen hvormed registrenes idriftsættelse kan forsinkes.</w:t>
            </w:r>
          </w:p>
        </w:tc>
        <w:tc>
          <w:tcPr>
            <w:tcW w:w="851" w:type="dxa"/>
            <w:noWrap/>
          </w:tcPr>
          <w:p w:rsidR="00D12ADB" w:rsidRPr="00BA6146" w:rsidRDefault="00D12ADB" w:rsidP="006B0072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BA6146">
              <w:rPr>
                <w:rFonts w:cs="Arial"/>
                <w:b/>
                <w:color w:val="000000"/>
              </w:rPr>
              <w:t>15</w:t>
            </w:r>
          </w:p>
          <w:p w:rsidR="00D12ADB" w:rsidRPr="00BA6146" w:rsidRDefault="00D12ADB" w:rsidP="006B0072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:rsidR="00D12ADB" w:rsidRPr="00BA6146" w:rsidRDefault="00D12ADB" w:rsidP="006B007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A6146">
              <w:rPr>
                <w:rFonts w:cs="Arial"/>
                <w:color w:val="000000"/>
              </w:rPr>
              <w:t>(3x5)</w:t>
            </w:r>
          </w:p>
        </w:tc>
        <w:tc>
          <w:tcPr>
            <w:tcW w:w="2551" w:type="dxa"/>
          </w:tcPr>
          <w:p w:rsidR="00D12ADB" w:rsidRDefault="00D12ADB" w:rsidP="006B00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Prioriterer indsatsen ift. de regler, som er forretningskritiske.</w:t>
            </w:r>
          </w:p>
          <w:p w:rsidR="00D12ADB" w:rsidRPr="00BA6146" w:rsidRDefault="00D12ADB" w:rsidP="006B00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Få assistance fra Kammeradvokaten eller lignede. </w:t>
            </w:r>
          </w:p>
        </w:tc>
      </w:tr>
    </w:tbl>
    <w:p w:rsidR="0053281A" w:rsidRDefault="0053281A" w:rsidP="0015280F"/>
    <w:p w:rsidR="00997E08" w:rsidRDefault="00997E08">
      <w:pPr>
        <w:rPr>
          <w:b/>
        </w:rPr>
      </w:pPr>
      <w:r>
        <w:rPr>
          <w:b/>
        </w:rPr>
        <w:br w:type="page"/>
      </w:r>
    </w:p>
    <w:p w:rsidR="0053281A" w:rsidRDefault="004D43E1" w:rsidP="0015280F">
      <w:pPr>
        <w:rPr>
          <w:b/>
        </w:rPr>
      </w:pPr>
      <w:r>
        <w:rPr>
          <w:b/>
        </w:rPr>
        <w:lastRenderedPageBreak/>
        <w:t>Aktuelle</w:t>
      </w:r>
      <w:r w:rsidR="0053281A" w:rsidRPr="004B6460">
        <w:rPr>
          <w:b/>
        </w:rPr>
        <w:t xml:space="preserve"> emner</w:t>
      </w:r>
    </w:p>
    <w:p w:rsidR="004D43E1" w:rsidRPr="004D43E1" w:rsidRDefault="004D43E1" w:rsidP="004D43E1">
      <w:pPr>
        <w:spacing w:after="0" w:line="240" w:lineRule="auto"/>
        <w:rPr>
          <w:rFonts w:cs="Arial"/>
          <w:color w:val="000000"/>
        </w:rPr>
      </w:pPr>
    </w:p>
    <w:tbl>
      <w:tblPr>
        <w:tblStyle w:val="Tabel-Gitter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977"/>
      </w:tblGrid>
      <w:tr w:rsidR="00CC0986" w:rsidRPr="004D43E1" w:rsidTr="00997E08">
        <w:trPr>
          <w:trHeight w:val="300"/>
        </w:trPr>
        <w:tc>
          <w:tcPr>
            <w:tcW w:w="817" w:type="dxa"/>
            <w:shd w:val="clear" w:color="auto" w:fill="D9D9D9" w:themeFill="background1" w:themeFillShade="D9"/>
            <w:hideMark/>
          </w:tcPr>
          <w:p w:rsidR="00CC0986" w:rsidRPr="004D43E1" w:rsidRDefault="00CC0986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 xml:space="preserve">ID jf. </w:t>
            </w:r>
            <w:proofErr w:type="spellStart"/>
            <w:r w:rsidRPr="004D43E1">
              <w:rPr>
                <w:rFonts w:cs="Arial"/>
                <w:color w:val="000000"/>
              </w:rPr>
              <w:t>issue</w:t>
            </w:r>
            <w:proofErr w:type="spellEnd"/>
            <w:r w:rsidRPr="004D43E1">
              <w:rPr>
                <w:rFonts w:cs="Arial"/>
                <w:color w:val="000000"/>
              </w:rPr>
              <w:t>-</w:t>
            </w:r>
          </w:p>
          <w:p w:rsidR="00CC0986" w:rsidRPr="004D43E1" w:rsidRDefault="00CC0986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liste</w:t>
            </w:r>
          </w:p>
        </w:tc>
        <w:tc>
          <w:tcPr>
            <w:tcW w:w="5103" w:type="dxa"/>
            <w:shd w:val="clear" w:color="auto" w:fill="D9D9D9" w:themeFill="background1" w:themeFillShade="D9"/>
            <w:hideMark/>
          </w:tcPr>
          <w:p w:rsidR="00CC0986" w:rsidRPr="004D43E1" w:rsidRDefault="00CC0986" w:rsidP="004D43E1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CC0986" w:rsidRPr="004D43E1" w:rsidRDefault="00CC0986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Problem og konsekvens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:rsidR="00CC0986" w:rsidRPr="004D43E1" w:rsidRDefault="00CC0986" w:rsidP="004D43E1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CC0986" w:rsidRPr="004D43E1" w:rsidRDefault="00CC0986" w:rsidP="004D43E1">
            <w:pPr>
              <w:spacing w:after="0" w:line="240" w:lineRule="auto"/>
              <w:rPr>
                <w:rFonts w:cs="Arial"/>
                <w:color w:val="000000"/>
              </w:rPr>
            </w:pPr>
            <w:r w:rsidRPr="004D43E1">
              <w:rPr>
                <w:rFonts w:cs="Arial"/>
                <w:color w:val="000000"/>
              </w:rPr>
              <w:t>Status på håndtering (og evt. frist)</w:t>
            </w:r>
          </w:p>
        </w:tc>
      </w:tr>
      <w:tr w:rsidR="00CC0986" w:rsidRPr="004D43E1" w:rsidTr="00997E08">
        <w:trPr>
          <w:trHeight w:val="1697"/>
        </w:trPr>
        <w:tc>
          <w:tcPr>
            <w:tcW w:w="817" w:type="dxa"/>
          </w:tcPr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>140</w:t>
            </w:r>
          </w:p>
        </w:tc>
        <w:tc>
          <w:tcPr>
            <w:tcW w:w="5103" w:type="dxa"/>
          </w:tcPr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 xml:space="preserve">Datamodel for DAR er ikke i stand til at bestå </w:t>
            </w:r>
            <w:proofErr w:type="spellStart"/>
            <w:r w:rsidRPr="00CC0986">
              <w:rPr>
                <w:rFonts w:cs="Garamond"/>
              </w:rPr>
              <w:t>konformanstjek</w:t>
            </w:r>
            <w:proofErr w:type="spellEnd"/>
          </w:p>
        </w:tc>
        <w:tc>
          <w:tcPr>
            <w:tcW w:w="2977" w:type="dxa"/>
          </w:tcPr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>Status pr. 16-11-2015:</w:t>
            </w:r>
          </w:p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 xml:space="preserve">Der er igangsat arbejde med at revidere datamodellen, og det forventes, at den reviderede datamodel godkendes skriftligt i PK den 29/11. Efter godkendelse afleveres </w:t>
            </w:r>
            <w:proofErr w:type="spellStart"/>
            <w:r w:rsidRPr="00CC0986">
              <w:rPr>
                <w:rFonts w:cs="Garamond"/>
              </w:rPr>
              <w:t>DARs</w:t>
            </w:r>
            <w:proofErr w:type="spellEnd"/>
            <w:r w:rsidRPr="00CC0986">
              <w:rPr>
                <w:rFonts w:cs="Garamond"/>
              </w:rPr>
              <w:t xml:space="preserve"> DLS v0.9.1 til GD7.</w:t>
            </w:r>
          </w:p>
        </w:tc>
      </w:tr>
      <w:tr w:rsidR="00CC0986" w:rsidRPr="004D43E1" w:rsidTr="00997E08">
        <w:trPr>
          <w:trHeight w:val="1697"/>
        </w:trPr>
        <w:tc>
          <w:tcPr>
            <w:tcW w:w="817" w:type="dxa"/>
          </w:tcPr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>139</w:t>
            </w:r>
          </w:p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>(Ny)</w:t>
            </w:r>
          </w:p>
        </w:tc>
        <w:tc>
          <w:tcPr>
            <w:tcW w:w="5103" w:type="dxa"/>
          </w:tcPr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 xml:space="preserve">Nøglepersoner (delprogramleder og koordinator) forlader delprogrammet pr. </w:t>
            </w:r>
            <w:proofErr w:type="gramStart"/>
            <w:r w:rsidRPr="00CC0986">
              <w:rPr>
                <w:rFonts w:cs="Garamond"/>
              </w:rPr>
              <w:t>1/12-2015</w:t>
            </w:r>
            <w:proofErr w:type="gramEnd"/>
            <w:r w:rsidRPr="00CC0986">
              <w:rPr>
                <w:rFonts w:cs="Garamond"/>
              </w:rPr>
              <w:t xml:space="preserve">. </w:t>
            </w:r>
          </w:p>
        </w:tc>
        <w:tc>
          <w:tcPr>
            <w:tcW w:w="2977" w:type="dxa"/>
          </w:tcPr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>Status pr. 16-11-2015</w:t>
            </w:r>
            <w:r w:rsidR="00997E08">
              <w:rPr>
                <w:rFonts w:cs="Garamond"/>
              </w:rPr>
              <w:t>:</w:t>
            </w:r>
          </w:p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>GST har slået de to stillinger op, og søger at bemande dem hurtigst muligt.</w:t>
            </w:r>
          </w:p>
        </w:tc>
      </w:tr>
      <w:tr w:rsidR="00CC0986" w:rsidRPr="004D43E1" w:rsidTr="00997E08">
        <w:trPr>
          <w:trHeight w:val="1541"/>
        </w:trPr>
        <w:tc>
          <w:tcPr>
            <w:tcW w:w="817" w:type="dxa"/>
            <w:shd w:val="clear" w:color="auto" w:fill="auto"/>
          </w:tcPr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>107</w:t>
            </w:r>
          </w:p>
        </w:tc>
        <w:tc>
          <w:tcPr>
            <w:tcW w:w="5103" w:type="dxa"/>
            <w:shd w:val="clear" w:color="auto" w:fill="auto"/>
          </w:tcPr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 xml:space="preserve">ERST er ifølge implementeringsplanen afhængig af </w:t>
            </w:r>
            <w:proofErr w:type="spellStart"/>
            <w:r w:rsidRPr="00CC0986">
              <w:rPr>
                <w:rFonts w:cs="Garamond"/>
              </w:rPr>
              <w:t>SKAT’s</w:t>
            </w:r>
            <w:proofErr w:type="spellEnd"/>
            <w:r w:rsidRPr="00CC0986">
              <w:rPr>
                <w:rFonts w:cs="Garamond"/>
              </w:rPr>
              <w:t xml:space="preserve"> produkter. </w:t>
            </w:r>
          </w:p>
          <w:p w:rsidR="00CC0986" w:rsidRPr="00CC0986" w:rsidRDefault="00CC0986" w:rsidP="004D43E1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>ERST kan ikke starte udvikling før det kan verificeres om det er muligt at ERST hhv. SKAT kan anvende forskelligt adressegrundlag (CPR-Vej og DAR) ved virksomhedsregistreringen.</w:t>
            </w:r>
          </w:p>
        </w:tc>
        <w:tc>
          <w:tcPr>
            <w:tcW w:w="2977" w:type="dxa"/>
            <w:shd w:val="clear" w:color="auto" w:fill="auto"/>
          </w:tcPr>
          <w:p w:rsidR="00CC0986" w:rsidRPr="00CC0986" w:rsidRDefault="00CC0986" w:rsidP="00396888">
            <w:pPr>
              <w:rPr>
                <w:rFonts w:cs="Garamond"/>
              </w:rPr>
            </w:pPr>
            <w:r w:rsidRPr="00CC0986">
              <w:rPr>
                <w:rFonts w:cs="Garamond"/>
              </w:rPr>
              <w:t>Status pr. 27-11-2015: SKAT reviderer løsningsmodel og leverer udkast til ERST/DST og programledelsen den 1. december.</w:t>
            </w:r>
          </w:p>
          <w:p w:rsidR="00CC0986" w:rsidRPr="00CC0986" w:rsidRDefault="00CC0986" w:rsidP="00396888">
            <w:pPr>
              <w:rPr>
                <w:rFonts w:cs="Garamond"/>
              </w:rPr>
            </w:pPr>
          </w:p>
          <w:p w:rsidR="00CC0986" w:rsidRPr="00CC0986" w:rsidRDefault="00CC0986" w:rsidP="00396888">
            <w:pPr>
              <w:spacing w:after="0" w:line="240" w:lineRule="auto"/>
              <w:rPr>
                <w:rFonts w:cs="Garamond"/>
              </w:rPr>
            </w:pPr>
            <w:r w:rsidRPr="00CC0986">
              <w:rPr>
                <w:rFonts w:cs="Garamond"/>
              </w:rPr>
              <w:t xml:space="preserve"> </w:t>
            </w:r>
          </w:p>
        </w:tc>
      </w:tr>
    </w:tbl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2977"/>
      </w:tblGrid>
      <w:tr w:rsidR="000D62AC" w:rsidRPr="00B1617A" w:rsidTr="00997E08">
        <w:trPr>
          <w:trHeight w:val="416"/>
        </w:trPr>
        <w:tc>
          <w:tcPr>
            <w:tcW w:w="851" w:type="dxa"/>
            <w:shd w:val="clear" w:color="auto" w:fill="auto"/>
            <w:hideMark/>
          </w:tcPr>
          <w:p w:rsidR="000D62AC" w:rsidRPr="00B1617A" w:rsidRDefault="000D62AC" w:rsidP="00943E5D">
            <w:pPr>
              <w:spacing w:after="0" w:line="240" w:lineRule="auto"/>
            </w:pPr>
            <w:r w:rsidRPr="009406EC">
              <w:t>(Ny)</w:t>
            </w:r>
          </w:p>
        </w:tc>
        <w:tc>
          <w:tcPr>
            <w:tcW w:w="5103" w:type="dxa"/>
            <w:shd w:val="clear" w:color="auto" w:fill="auto"/>
            <w:hideMark/>
          </w:tcPr>
          <w:p w:rsidR="000D62AC" w:rsidRDefault="000D62AC" w:rsidP="006B0072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 xml:space="preserve">Manglende detailplan fra GD7 vedr. krav til registrenes deltagelse i GD7s agile udviklingsfase fra ultimo november til primo april. Manglende afstemning af GD1-leverandørernes tidsplaner med GD7’s. I værste fald har registerprojekterne ikke mulighed for at være klar til snitfladetest 1. maj. </w:t>
            </w:r>
          </w:p>
          <w:p w:rsidR="000D62AC" w:rsidRPr="00B1617A" w:rsidRDefault="000D62AC" w:rsidP="006B0072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  <w:hideMark/>
          </w:tcPr>
          <w:p w:rsidR="000D62AC" w:rsidRDefault="000D62AC" w:rsidP="006B0072">
            <w:pPr>
              <w:spacing w:after="0" w:line="240" w:lineRule="auto"/>
            </w:pPr>
            <w:r w:rsidRPr="00B1617A">
              <w:t>15.11.2015: GD1 og GD2 håndterer ift. projektleverandører og GD7 ift. KMD</w:t>
            </w:r>
          </w:p>
          <w:p w:rsidR="000D62AC" w:rsidRPr="00B1617A" w:rsidRDefault="000D62AC" w:rsidP="006B0072">
            <w:pPr>
              <w:spacing w:after="0" w:line="240" w:lineRule="auto"/>
            </w:pPr>
            <w:r>
              <w:t xml:space="preserve">25.11.2015: der har været afholdt opklarende møde med GD1-leverandørerne og GD7. GD7 leverer en plan 7/12, hvorefter der igen afholdes møde med leverandørerne og GD7 </w:t>
            </w:r>
            <w:proofErr w:type="spellStart"/>
            <w:r>
              <w:t>mhp</w:t>
            </w:r>
            <w:proofErr w:type="spellEnd"/>
            <w:r>
              <w:t>. en drøftelse af, om planen leverer de nødvendige svar til registrene.</w:t>
            </w:r>
          </w:p>
        </w:tc>
      </w:tr>
      <w:tr w:rsidR="000D62AC" w:rsidRPr="00B1617A" w:rsidTr="00997E08">
        <w:trPr>
          <w:trHeight w:val="1728"/>
        </w:trPr>
        <w:tc>
          <w:tcPr>
            <w:tcW w:w="851" w:type="dxa"/>
            <w:shd w:val="clear" w:color="auto" w:fill="auto"/>
            <w:hideMark/>
          </w:tcPr>
          <w:p w:rsidR="000D62AC" w:rsidRPr="00B1617A" w:rsidRDefault="000D62AC" w:rsidP="00943E5D">
            <w:pPr>
              <w:spacing w:after="0" w:line="240" w:lineRule="auto"/>
            </w:pPr>
            <w:r w:rsidRPr="009406EC">
              <w:lastRenderedPageBreak/>
              <w:t>(Ny)</w:t>
            </w:r>
          </w:p>
        </w:tc>
        <w:tc>
          <w:tcPr>
            <w:tcW w:w="5103" w:type="dxa"/>
            <w:shd w:val="clear" w:color="auto" w:fill="auto"/>
            <w:hideMark/>
          </w:tcPr>
          <w:p w:rsidR="000D62AC" w:rsidRPr="00B1617A" w:rsidRDefault="000D62AC" w:rsidP="006B0072">
            <w:pPr>
              <w:spacing w:after="0" w:line="240" w:lineRule="auto"/>
            </w:pPr>
            <w:r w:rsidRPr="00B1617A">
              <w:t>Organiseringen af det tværgående testarbejde, herunder koordinering af tests ml. GD1/GD2 og GD7 samt etablering af tværgående testdata-sæt.</w:t>
            </w:r>
            <w:r w:rsidRPr="009406EC">
              <w:t xml:space="preserve"> </w:t>
            </w:r>
            <w:r w:rsidRPr="00B1617A">
              <w:t xml:space="preserve">Opgaven ligger formelt hos GD8, men den løses ikke her. Grunddatabestyrelsen har bedt GST om at lave en </w:t>
            </w:r>
            <w:proofErr w:type="spellStart"/>
            <w:r w:rsidRPr="00B1617A">
              <w:t>foranalyse</w:t>
            </w:r>
            <w:proofErr w:type="spellEnd"/>
            <w:r w:rsidRPr="00B1617A">
              <w:t xml:space="preserve"> af opgavens indhold samt bud på ansvarsplacering og ressourcebehov.</w:t>
            </w:r>
            <w:r>
              <w:t xml:space="preserve"> Emnet indeholder desuden </w:t>
            </w:r>
            <w:proofErr w:type="spellStart"/>
            <w:r>
              <w:t>mitigerende</w:t>
            </w:r>
            <w:proofErr w:type="spellEnd"/>
            <w:r>
              <w:t xml:space="preserve"> handlinger for hhv. risiko A15 (Opgaveansvaret for snitfladetest er placeret i registerprojekterne) og B16</w:t>
            </w:r>
            <w:proofErr w:type="gramStart"/>
            <w:r>
              <w:t xml:space="preserve"> (Frekvensen på </w:t>
            </w:r>
            <w:proofErr w:type="spellStart"/>
            <w:r>
              <w:t>release</w:t>
            </w:r>
            <w:proofErr w:type="spellEnd"/>
            <w:r>
              <w:t xml:space="preserve"> af fejlrettelser af tjenester på DAF er utilstrækkelig </w:t>
            </w:r>
            <w:proofErr w:type="spellStart"/>
            <w:r>
              <w:t>ifm</w:t>
            </w:r>
            <w:proofErr w:type="spellEnd"/>
            <w:r>
              <w:t>.</w:t>
            </w:r>
            <w:proofErr w:type="gramEnd"/>
            <w:r>
              <w:t xml:space="preserve"> test). De to risici er derfor lukket. </w:t>
            </w:r>
          </w:p>
        </w:tc>
        <w:tc>
          <w:tcPr>
            <w:tcW w:w="2977" w:type="dxa"/>
            <w:shd w:val="clear" w:color="auto" w:fill="auto"/>
            <w:hideMark/>
          </w:tcPr>
          <w:p w:rsidR="000D62AC" w:rsidRPr="00B1617A" w:rsidRDefault="000D62AC" w:rsidP="006B0072">
            <w:pPr>
              <w:spacing w:after="0" w:line="240" w:lineRule="auto"/>
            </w:pPr>
            <w:r w:rsidRPr="00B1617A">
              <w:t>15.11.2015: Der er igangsat et arbejde med at udarbejde et oplæg til plan for fælles test i GD1, GD2 og GD7, indeholdende tids- og aktivitetsplan, overblik over fælles testopgaver (formål, fagligt indhold, hovedaktiviteter) samt succeskriterier og anbefaling.</w:t>
            </w:r>
          </w:p>
        </w:tc>
      </w:tr>
    </w:tbl>
    <w:p w:rsidR="00396888" w:rsidRDefault="00396888" w:rsidP="00396888">
      <w:r>
        <w:br/>
      </w:r>
      <w:r w:rsidR="00997E08">
        <w:br/>
      </w:r>
      <w:r w:rsidRPr="00B63441">
        <w:t xml:space="preserve">Det </w:t>
      </w:r>
      <w:r w:rsidRPr="00B63441">
        <w:rPr>
          <w:i/>
        </w:rPr>
        <w:t>indstilles</w:t>
      </w:r>
      <w:r w:rsidRPr="00B63441">
        <w:t>, at</w:t>
      </w:r>
      <w:r>
        <w:t xml:space="preserve"> styregruppen drøfter risikobilledet og godkender de </w:t>
      </w:r>
      <w:proofErr w:type="spellStart"/>
      <w:r>
        <w:t>mitigerende</w:t>
      </w:r>
      <w:proofErr w:type="spellEnd"/>
      <w:r>
        <w:t xml:space="preserve"> handlinger for de kritiske risici og emner.</w:t>
      </w:r>
    </w:p>
    <w:p w:rsidR="00396888" w:rsidRDefault="00396888" w:rsidP="00396888">
      <w:pPr>
        <w:keepNext/>
        <w:spacing w:before="280"/>
        <w:outlineLvl w:val="1"/>
      </w:pPr>
      <w:r w:rsidRPr="0015280F">
        <w:rPr>
          <w:rFonts w:ascii="Arial" w:hAnsi="Arial" w:cs="Arial"/>
          <w:b/>
          <w:bCs/>
          <w:iCs/>
          <w:sz w:val="20"/>
          <w:szCs w:val="28"/>
        </w:rPr>
        <w:t>Procedure</w:t>
      </w:r>
      <w:r>
        <w:br/>
        <w:t>Emner og risici er behandlet på møde i Projektforum den 20. oktober 2015.</w:t>
      </w:r>
    </w:p>
    <w:p w:rsidR="00396888" w:rsidRDefault="00396888" w:rsidP="00396888">
      <w:pPr>
        <w:pStyle w:val="Overskrift2"/>
      </w:pPr>
      <w:r>
        <w:t>Kommunikation</w:t>
      </w:r>
    </w:p>
    <w:p w:rsidR="00396888" w:rsidRPr="0002637E" w:rsidRDefault="00396888" w:rsidP="00396888">
      <w:pPr>
        <w:rPr>
          <w:i/>
        </w:rPr>
      </w:pPr>
      <w:r>
        <w:rPr>
          <w:i/>
        </w:rPr>
        <w:t>Ikke relevant</w:t>
      </w:r>
    </w:p>
    <w:p w:rsidR="004D43E1" w:rsidRPr="004D43E1" w:rsidRDefault="004D43E1" w:rsidP="004D43E1">
      <w:pPr>
        <w:spacing w:after="0" w:line="240" w:lineRule="auto"/>
        <w:rPr>
          <w:rFonts w:cs="Arial"/>
          <w:color w:val="000000"/>
        </w:rPr>
      </w:pPr>
    </w:p>
    <w:sectPr w:rsidR="004D43E1" w:rsidRPr="004D43E1" w:rsidSect="009E3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16" w:rsidRDefault="001B6E16">
      <w:r>
        <w:separator/>
      </w:r>
    </w:p>
  </w:endnote>
  <w:endnote w:type="continuationSeparator" w:id="0">
    <w:p w:rsidR="001B6E16" w:rsidRDefault="001B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16" w:rsidRDefault="001B6E16">
      <w:r>
        <w:separator/>
      </w:r>
    </w:p>
  </w:footnote>
  <w:footnote w:type="continuationSeparator" w:id="0">
    <w:p w:rsidR="001B6E16" w:rsidRDefault="001B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0D62AC">
      <w:rPr>
        <w:rStyle w:val="Sidetal"/>
        <w:noProof/>
      </w:rPr>
      <w:t>3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0D62AC">
      <w:rPr>
        <w:rStyle w:val="Sidetal"/>
        <w:noProof/>
      </w:rPr>
      <w:t>3</w:t>
    </w:r>
    <w:r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4950C6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BC53FAC"/>
    <w:multiLevelType w:val="hybridMultilevel"/>
    <w:tmpl w:val="92F2DDDC"/>
    <w:lvl w:ilvl="0" w:tplc="9894E228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2"/>
  </w:num>
  <w:num w:numId="21">
    <w:abstractNumId w:val="9"/>
  </w:num>
  <w:num w:numId="22">
    <w:abstractNumId w:val="18"/>
  </w:num>
  <w:num w:numId="2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0441C"/>
    <w:rsid w:val="00006DDB"/>
    <w:rsid w:val="00016FEE"/>
    <w:rsid w:val="00017AB4"/>
    <w:rsid w:val="00022F36"/>
    <w:rsid w:val="000250D6"/>
    <w:rsid w:val="00025355"/>
    <w:rsid w:val="0002637E"/>
    <w:rsid w:val="000421D4"/>
    <w:rsid w:val="00051A09"/>
    <w:rsid w:val="00066058"/>
    <w:rsid w:val="000769DC"/>
    <w:rsid w:val="00093B6A"/>
    <w:rsid w:val="00096AB2"/>
    <w:rsid w:val="000A452F"/>
    <w:rsid w:val="000A49E7"/>
    <w:rsid w:val="000B0DAA"/>
    <w:rsid w:val="000B75AA"/>
    <w:rsid w:val="000C1933"/>
    <w:rsid w:val="000D1426"/>
    <w:rsid w:val="000D18D7"/>
    <w:rsid w:val="000D62AC"/>
    <w:rsid w:val="000D6E63"/>
    <w:rsid w:val="000D795B"/>
    <w:rsid w:val="000E1D2D"/>
    <w:rsid w:val="000F15FA"/>
    <w:rsid w:val="000F7B8F"/>
    <w:rsid w:val="00101552"/>
    <w:rsid w:val="00107B13"/>
    <w:rsid w:val="001105C6"/>
    <w:rsid w:val="00112004"/>
    <w:rsid w:val="001158D7"/>
    <w:rsid w:val="0012489C"/>
    <w:rsid w:val="00125EF6"/>
    <w:rsid w:val="00136765"/>
    <w:rsid w:val="00144F29"/>
    <w:rsid w:val="0015280F"/>
    <w:rsid w:val="00153477"/>
    <w:rsid w:val="00153566"/>
    <w:rsid w:val="00161CC7"/>
    <w:rsid w:val="001642D9"/>
    <w:rsid w:val="00186F7F"/>
    <w:rsid w:val="0019217D"/>
    <w:rsid w:val="00192812"/>
    <w:rsid w:val="00193806"/>
    <w:rsid w:val="001B007C"/>
    <w:rsid w:val="001B560A"/>
    <w:rsid w:val="001B69E3"/>
    <w:rsid w:val="001B6E16"/>
    <w:rsid w:val="001C081F"/>
    <w:rsid w:val="001C4B5D"/>
    <w:rsid w:val="001F4299"/>
    <w:rsid w:val="00211AB6"/>
    <w:rsid w:val="00211E53"/>
    <w:rsid w:val="00216BE3"/>
    <w:rsid w:val="00216D0E"/>
    <w:rsid w:val="002171DE"/>
    <w:rsid w:val="00217E5B"/>
    <w:rsid w:val="00227FFC"/>
    <w:rsid w:val="00232007"/>
    <w:rsid w:val="00234EF4"/>
    <w:rsid w:val="0024430C"/>
    <w:rsid w:val="00261FD1"/>
    <w:rsid w:val="002672F6"/>
    <w:rsid w:val="00270BA3"/>
    <w:rsid w:val="00275697"/>
    <w:rsid w:val="00276846"/>
    <w:rsid w:val="0028680F"/>
    <w:rsid w:val="0029047D"/>
    <w:rsid w:val="002971B9"/>
    <w:rsid w:val="00297E3C"/>
    <w:rsid w:val="002A2BF7"/>
    <w:rsid w:val="002E326D"/>
    <w:rsid w:val="002F2D9E"/>
    <w:rsid w:val="002F5B9A"/>
    <w:rsid w:val="00303F59"/>
    <w:rsid w:val="0033019F"/>
    <w:rsid w:val="00343EAB"/>
    <w:rsid w:val="00350F46"/>
    <w:rsid w:val="003604A0"/>
    <w:rsid w:val="003718D6"/>
    <w:rsid w:val="003939C9"/>
    <w:rsid w:val="00396888"/>
    <w:rsid w:val="003A2487"/>
    <w:rsid w:val="003A4BFC"/>
    <w:rsid w:val="003A7C5E"/>
    <w:rsid w:val="003D64BC"/>
    <w:rsid w:val="003D6BF6"/>
    <w:rsid w:val="003E6170"/>
    <w:rsid w:val="00406A77"/>
    <w:rsid w:val="0040700B"/>
    <w:rsid w:val="00417DE8"/>
    <w:rsid w:val="00420C65"/>
    <w:rsid w:val="0043074C"/>
    <w:rsid w:val="004357F5"/>
    <w:rsid w:val="004452DC"/>
    <w:rsid w:val="0045008B"/>
    <w:rsid w:val="00483C3B"/>
    <w:rsid w:val="0048688D"/>
    <w:rsid w:val="00493EAD"/>
    <w:rsid w:val="004950C6"/>
    <w:rsid w:val="004A6F1A"/>
    <w:rsid w:val="004B34D4"/>
    <w:rsid w:val="004B6460"/>
    <w:rsid w:val="004C3BD5"/>
    <w:rsid w:val="004D43E1"/>
    <w:rsid w:val="004E05D4"/>
    <w:rsid w:val="005001B3"/>
    <w:rsid w:val="0050438F"/>
    <w:rsid w:val="00504494"/>
    <w:rsid w:val="0050453A"/>
    <w:rsid w:val="00531540"/>
    <w:rsid w:val="0053281A"/>
    <w:rsid w:val="0054483F"/>
    <w:rsid w:val="00545F55"/>
    <w:rsid w:val="00553194"/>
    <w:rsid w:val="00555FE5"/>
    <w:rsid w:val="0056295B"/>
    <w:rsid w:val="00564020"/>
    <w:rsid w:val="00564900"/>
    <w:rsid w:val="00570BB3"/>
    <w:rsid w:val="00576C37"/>
    <w:rsid w:val="005802EE"/>
    <w:rsid w:val="00584378"/>
    <w:rsid w:val="00596604"/>
    <w:rsid w:val="005A0090"/>
    <w:rsid w:val="005B5A82"/>
    <w:rsid w:val="005C32DE"/>
    <w:rsid w:val="005E3E22"/>
    <w:rsid w:val="005E6CB9"/>
    <w:rsid w:val="005F4BA3"/>
    <w:rsid w:val="00606A7D"/>
    <w:rsid w:val="00620DCC"/>
    <w:rsid w:val="00626B35"/>
    <w:rsid w:val="0064467E"/>
    <w:rsid w:val="00654B71"/>
    <w:rsid w:val="00664693"/>
    <w:rsid w:val="00687290"/>
    <w:rsid w:val="00690C8C"/>
    <w:rsid w:val="006971C5"/>
    <w:rsid w:val="006A0852"/>
    <w:rsid w:val="006A3AA4"/>
    <w:rsid w:val="006B3B8E"/>
    <w:rsid w:val="006B69DD"/>
    <w:rsid w:val="006D08BE"/>
    <w:rsid w:val="006D3248"/>
    <w:rsid w:val="006D5EC7"/>
    <w:rsid w:val="006E5A24"/>
    <w:rsid w:val="006E60C1"/>
    <w:rsid w:val="006E694D"/>
    <w:rsid w:val="006F0510"/>
    <w:rsid w:val="006F434E"/>
    <w:rsid w:val="00702A50"/>
    <w:rsid w:val="00705CA7"/>
    <w:rsid w:val="00711522"/>
    <w:rsid w:val="00722C5A"/>
    <w:rsid w:val="007240BF"/>
    <w:rsid w:val="007317FB"/>
    <w:rsid w:val="00736658"/>
    <w:rsid w:val="00741DC5"/>
    <w:rsid w:val="00751A9F"/>
    <w:rsid w:val="007558AC"/>
    <w:rsid w:val="007729A1"/>
    <w:rsid w:val="00772A30"/>
    <w:rsid w:val="00794A97"/>
    <w:rsid w:val="007955B4"/>
    <w:rsid w:val="007B1A31"/>
    <w:rsid w:val="007B1E75"/>
    <w:rsid w:val="007C0A94"/>
    <w:rsid w:val="007C2199"/>
    <w:rsid w:val="007C3256"/>
    <w:rsid w:val="007F382F"/>
    <w:rsid w:val="00810F06"/>
    <w:rsid w:val="00812F86"/>
    <w:rsid w:val="0081384E"/>
    <w:rsid w:val="008208BC"/>
    <w:rsid w:val="00832E2F"/>
    <w:rsid w:val="00841F21"/>
    <w:rsid w:val="00850EB5"/>
    <w:rsid w:val="008511A5"/>
    <w:rsid w:val="0085337D"/>
    <w:rsid w:val="0085744B"/>
    <w:rsid w:val="008632C9"/>
    <w:rsid w:val="00863559"/>
    <w:rsid w:val="00871BB2"/>
    <w:rsid w:val="008745C8"/>
    <w:rsid w:val="008914F2"/>
    <w:rsid w:val="008A0687"/>
    <w:rsid w:val="008B3B52"/>
    <w:rsid w:val="008D0573"/>
    <w:rsid w:val="008D1A60"/>
    <w:rsid w:val="008D21AE"/>
    <w:rsid w:val="008D5495"/>
    <w:rsid w:val="008D7E07"/>
    <w:rsid w:val="008E10CF"/>
    <w:rsid w:val="008E7432"/>
    <w:rsid w:val="008F0FE1"/>
    <w:rsid w:val="008F19D6"/>
    <w:rsid w:val="008F456F"/>
    <w:rsid w:val="009118C8"/>
    <w:rsid w:val="00930E78"/>
    <w:rsid w:val="009406EC"/>
    <w:rsid w:val="009508BA"/>
    <w:rsid w:val="00971AA9"/>
    <w:rsid w:val="00974293"/>
    <w:rsid w:val="009779DB"/>
    <w:rsid w:val="00980EAF"/>
    <w:rsid w:val="0098420F"/>
    <w:rsid w:val="009859A7"/>
    <w:rsid w:val="00985C7E"/>
    <w:rsid w:val="009919E5"/>
    <w:rsid w:val="00997E08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D7084"/>
    <w:rsid w:val="009E377C"/>
    <w:rsid w:val="009F0B06"/>
    <w:rsid w:val="009F27A2"/>
    <w:rsid w:val="009F3067"/>
    <w:rsid w:val="009F5229"/>
    <w:rsid w:val="00A059FC"/>
    <w:rsid w:val="00A24BB9"/>
    <w:rsid w:val="00A26F50"/>
    <w:rsid w:val="00A30CBD"/>
    <w:rsid w:val="00A41613"/>
    <w:rsid w:val="00A42BEC"/>
    <w:rsid w:val="00A461AC"/>
    <w:rsid w:val="00A575C5"/>
    <w:rsid w:val="00A61FE4"/>
    <w:rsid w:val="00A63EB0"/>
    <w:rsid w:val="00A65A51"/>
    <w:rsid w:val="00A82C53"/>
    <w:rsid w:val="00A8476C"/>
    <w:rsid w:val="00AB2C86"/>
    <w:rsid w:val="00AB47BB"/>
    <w:rsid w:val="00AC6FF2"/>
    <w:rsid w:val="00AC7E9B"/>
    <w:rsid w:val="00AD49B3"/>
    <w:rsid w:val="00AE3BEA"/>
    <w:rsid w:val="00AF43D2"/>
    <w:rsid w:val="00B0618D"/>
    <w:rsid w:val="00B1617A"/>
    <w:rsid w:val="00B17861"/>
    <w:rsid w:val="00B20710"/>
    <w:rsid w:val="00B30C69"/>
    <w:rsid w:val="00B37BFC"/>
    <w:rsid w:val="00B46696"/>
    <w:rsid w:val="00B51927"/>
    <w:rsid w:val="00B72585"/>
    <w:rsid w:val="00B7351E"/>
    <w:rsid w:val="00B77F52"/>
    <w:rsid w:val="00B8541D"/>
    <w:rsid w:val="00B85B51"/>
    <w:rsid w:val="00B91E7D"/>
    <w:rsid w:val="00B93D4F"/>
    <w:rsid w:val="00BA2C8D"/>
    <w:rsid w:val="00BA56DF"/>
    <w:rsid w:val="00BA6146"/>
    <w:rsid w:val="00BB1363"/>
    <w:rsid w:val="00BC3C7C"/>
    <w:rsid w:val="00BC7500"/>
    <w:rsid w:val="00BD0257"/>
    <w:rsid w:val="00BD26CC"/>
    <w:rsid w:val="00BE4879"/>
    <w:rsid w:val="00BE51D7"/>
    <w:rsid w:val="00BE7A2C"/>
    <w:rsid w:val="00BE7FBE"/>
    <w:rsid w:val="00C10F25"/>
    <w:rsid w:val="00C31655"/>
    <w:rsid w:val="00C346EB"/>
    <w:rsid w:val="00C44DE3"/>
    <w:rsid w:val="00C654F4"/>
    <w:rsid w:val="00C6591D"/>
    <w:rsid w:val="00C769F5"/>
    <w:rsid w:val="00C80987"/>
    <w:rsid w:val="00C84B5C"/>
    <w:rsid w:val="00C928F6"/>
    <w:rsid w:val="00C962BB"/>
    <w:rsid w:val="00CA0509"/>
    <w:rsid w:val="00CA1B31"/>
    <w:rsid w:val="00CB2E97"/>
    <w:rsid w:val="00CB548C"/>
    <w:rsid w:val="00CC05CC"/>
    <w:rsid w:val="00CC0986"/>
    <w:rsid w:val="00CD41B0"/>
    <w:rsid w:val="00CE3D7F"/>
    <w:rsid w:val="00CE3F8A"/>
    <w:rsid w:val="00CF18B3"/>
    <w:rsid w:val="00CF1C87"/>
    <w:rsid w:val="00CF1F34"/>
    <w:rsid w:val="00CF270F"/>
    <w:rsid w:val="00CF367C"/>
    <w:rsid w:val="00D12ADB"/>
    <w:rsid w:val="00D15905"/>
    <w:rsid w:val="00D27834"/>
    <w:rsid w:val="00D33DDF"/>
    <w:rsid w:val="00D3791D"/>
    <w:rsid w:val="00D416A3"/>
    <w:rsid w:val="00D466BE"/>
    <w:rsid w:val="00D4698E"/>
    <w:rsid w:val="00D522CD"/>
    <w:rsid w:val="00D80483"/>
    <w:rsid w:val="00D84A3E"/>
    <w:rsid w:val="00D86F28"/>
    <w:rsid w:val="00D933A8"/>
    <w:rsid w:val="00D93E22"/>
    <w:rsid w:val="00DA0C54"/>
    <w:rsid w:val="00DA7968"/>
    <w:rsid w:val="00DB1C1C"/>
    <w:rsid w:val="00DC0CCF"/>
    <w:rsid w:val="00DC0D55"/>
    <w:rsid w:val="00DC3E1B"/>
    <w:rsid w:val="00DD0A98"/>
    <w:rsid w:val="00DD545E"/>
    <w:rsid w:val="00DE2DF0"/>
    <w:rsid w:val="00DE4D97"/>
    <w:rsid w:val="00DE6A38"/>
    <w:rsid w:val="00DF123C"/>
    <w:rsid w:val="00E005BF"/>
    <w:rsid w:val="00E04ABF"/>
    <w:rsid w:val="00E11A86"/>
    <w:rsid w:val="00E13E3E"/>
    <w:rsid w:val="00E14B72"/>
    <w:rsid w:val="00E21E64"/>
    <w:rsid w:val="00E24574"/>
    <w:rsid w:val="00E559C6"/>
    <w:rsid w:val="00E57C26"/>
    <w:rsid w:val="00E630B1"/>
    <w:rsid w:val="00E674DE"/>
    <w:rsid w:val="00E82F54"/>
    <w:rsid w:val="00E932E7"/>
    <w:rsid w:val="00E9513F"/>
    <w:rsid w:val="00E9593A"/>
    <w:rsid w:val="00EA5579"/>
    <w:rsid w:val="00EB6620"/>
    <w:rsid w:val="00ED59B0"/>
    <w:rsid w:val="00EE1C0D"/>
    <w:rsid w:val="00EE6B61"/>
    <w:rsid w:val="00EF1556"/>
    <w:rsid w:val="00EF36FB"/>
    <w:rsid w:val="00F009BA"/>
    <w:rsid w:val="00F12DC3"/>
    <w:rsid w:val="00F1746F"/>
    <w:rsid w:val="00F17F2E"/>
    <w:rsid w:val="00F3309D"/>
    <w:rsid w:val="00F33D23"/>
    <w:rsid w:val="00F41723"/>
    <w:rsid w:val="00F66379"/>
    <w:rsid w:val="00F67E15"/>
    <w:rsid w:val="00F82D3E"/>
    <w:rsid w:val="00F94E5E"/>
    <w:rsid w:val="00F966C1"/>
    <w:rsid w:val="00F96741"/>
    <w:rsid w:val="00FA0087"/>
    <w:rsid w:val="00FA2375"/>
    <w:rsid w:val="00FA2D00"/>
    <w:rsid w:val="00FA78CE"/>
    <w:rsid w:val="00FA7A96"/>
    <w:rsid w:val="00FB045F"/>
    <w:rsid w:val="00FB099C"/>
    <w:rsid w:val="00FB7BD9"/>
    <w:rsid w:val="00FE16D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uiPriority w:val="59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96888"/>
    <w:rPr>
      <w:rFonts w:ascii="Arial" w:hAnsi="Arial" w:cs="Arial"/>
      <w:b/>
      <w:bCs/>
      <w:i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uiPriority w:val="59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96888"/>
    <w:rPr>
      <w:rFonts w:ascii="Arial" w:hAnsi="Arial" w:cs="Arial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6773-D9D2-47D4-902F-CF1B76F4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3</TotalTime>
  <Pages>3</Pages>
  <Words>535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Brian Arreborg Hansen</cp:lastModifiedBy>
  <cp:revision>3</cp:revision>
  <cp:lastPrinted>2015-11-20T12:30:00Z</cp:lastPrinted>
  <dcterms:created xsi:type="dcterms:W3CDTF">2015-11-27T15:16:00Z</dcterms:created>
  <dcterms:modified xsi:type="dcterms:W3CDTF">2015-11-27T15:18:00Z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