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7D7" w:rsidRPr="00BD053C" w:rsidRDefault="00F337D7" w:rsidP="00F337D7">
      <w:pPr>
        <w:pBdr>
          <w:top w:val="single" w:sz="4" w:space="1" w:color="auto"/>
          <w:left w:val="single" w:sz="4" w:space="0" w:color="auto"/>
          <w:bottom w:val="single" w:sz="4" w:space="1" w:color="auto"/>
          <w:right w:val="single" w:sz="4" w:space="4" w:color="auto"/>
        </w:pBdr>
        <w:spacing w:before="120"/>
        <w:rPr>
          <w:rFonts w:ascii="Calibri" w:hAnsi="Calibri"/>
          <w:sz w:val="26"/>
          <w:szCs w:val="28"/>
        </w:rPr>
      </w:pPr>
      <w:r w:rsidRPr="00BD053C">
        <w:rPr>
          <w:rFonts w:ascii="Calibri" w:hAnsi="Calibri"/>
          <w:sz w:val="26"/>
          <w:szCs w:val="28"/>
        </w:rPr>
        <w:t>Bilag 1</w:t>
      </w:r>
      <w:r>
        <w:rPr>
          <w:rFonts w:ascii="Calibri" w:hAnsi="Calibri"/>
          <w:sz w:val="26"/>
          <w:szCs w:val="28"/>
        </w:rPr>
        <w:t>6</w:t>
      </w:r>
      <w:r w:rsidRPr="00BD053C">
        <w:rPr>
          <w:rFonts w:ascii="Calibri" w:hAnsi="Calibri"/>
          <w:sz w:val="26"/>
          <w:szCs w:val="28"/>
        </w:rPr>
        <w:t xml:space="preserve"> - Fælles arkitekturramme for GD1-GD2-GD7</w:t>
      </w:r>
    </w:p>
    <w:p w:rsidR="00F337D7" w:rsidRDefault="00F337D7" w:rsidP="00F337D7"/>
    <w:p w:rsidR="00F337D7" w:rsidRDefault="00F337D7">
      <w:bookmarkStart w:id="0" w:name="_GoBack"/>
      <w:bookmarkEnd w:id="0"/>
    </w:p>
    <w:p w:rsidR="00F337D7" w:rsidRDefault="00F337D7"/>
    <w:tbl>
      <w:tblPr>
        <w:tblW w:w="9900" w:type="dxa"/>
        <w:tblLayout w:type="fixed"/>
        <w:tblCellMar>
          <w:top w:w="57" w:type="dxa"/>
          <w:left w:w="0" w:type="dxa"/>
          <w:right w:w="0" w:type="dxa"/>
        </w:tblCellMar>
        <w:tblLook w:val="01E0" w:firstRow="1" w:lastRow="1" w:firstColumn="1" w:lastColumn="1" w:noHBand="0" w:noVBand="0"/>
      </w:tblPr>
      <w:tblGrid>
        <w:gridCol w:w="7320"/>
        <w:gridCol w:w="561"/>
        <w:gridCol w:w="2019"/>
      </w:tblGrid>
      <w:tr w:rsidR="003C7F5E" w:rsidTr="00057203">
        <w:trPr>
          <w:trHeight w:hRule="exact" w:val="910"/>
        </w:trPr>
        <w:tc>
          <w:tcPr>
            <w:tcW w:w="7320" w:type="dxa"/>
            <w:tcBorders>
              <w:bottom w:val="single" w:sz="2" w:space="0" w:color="auto"/>
            </w:tcBorders>
          </w:tcPr>
          <w:p w:rsidR="003C7F5E" w:rsidRPr="002A786E" w:rsidRDefault="003C7F5E" w:rsidP="00D2297E">
            <w:pPr>
              <w:pStyle w:val="DokTitel"/>
            </w:pPr>
            <w:r>
              <w:t xml:space="preserve">Notat om metadata om </w:t>
            </w:r>
            <w:proofErr w:type="spellStart"/>
            <w:r>
              <w:t>grunddata</w:t>
            </w:r>
            <w:proofErr w:type="spellEnd"/>
            <w:r w:rsidRPr="002A786E">
              <w:t xml:space="preserve"> </w:t>
            </w:r>
          </w:p>
        </w:tc>
        <w:tc>
          <w:tcPr>
            <w:tcW w:w="561" w:type="dxa"/>
          </w:tcPr>
          <w:p w:rsidR="003C7F5E" w:rsidRPr="002A786E" w:rsidRDefault="003C7F5E" w:rsidP="00D2297E">
            <w:pPr>
              <w:pStyle w:val="DokTitel"/>
            </w:pPr>
          </w:p>
        </w:tc>
        <w:tc>
          <w:tcPr>
            <w:tcW w:w="2019" w:type="dxa"/>
          </w:tcPr>
          <w:p w:rsidR="003C7F5E" w:rsidRDefault="003C7F5E" w:rsidP="00F74E86">
            <w:bookmarkStart w:id="1" w:name="BmDato"/>
            <w:bookmarkEnd w:id="1"/>
            <w:r>
              <w:t>6. december 2013</w:t>
            </w:r>
          </w:p>
          <w:p w:rsidR="003C7F5E" w:rsidRDefault="003C7F5E" w:rsidP="00F74E86">
            <w:bookmarkStart w:id="2" w:name="BmOmraade"/>
            <w:bookmarkEnd w:id="2"/>
            <w:r>
              <w:t>SAR &amp; PLACE</w:t>
            </w:r>
          </w:p>
          <w:p w:rsidR="003C7F5E" w:rsidRDefault="003C7F5E" w:rsidP="00472B2B">
            <w:pPr>
              <w:pStyle w:val="Sidehoved"/>
            </w:pPr>
            <w:bookmarkStart w:id="3" w:name="BmJournalnr"/>
            <w:bookmarkEnd w:id="3"/>
          </w:p>
        </w:tc>
      </w:tr>
    </w:tbl>
    <w:p w:rsidR="003C7F5E" w:rsidRDefault="00667FFB" w:rsidP="00822148">
      <w:pPr>
        <w:pStyle w:val="Overskrift1"/>
      </w:pPr>
      <w:bookmarkStart w:id="4" w:name="BmOverskrift"/>
      <w:bookmarkEnd w:id="4"/>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2.2pt;margin-top:30.3pt;width:168.85pt;height:32.9pt;z-index:1;mso-position-horizontal-relative:text;mso-position-vertical-relative:page">
            <v:imagedata r:id="rId7" o:title=""/>
            <w10:wrap anchory="page"/>
            <w10:anchorlock/>
          </v:shape>
        </w:pict>
      </w:r>
      <w:r w:rsidR="003C7F5E">
        <w:rPr>
          <w:noProof/>
          <w:lang w:eastAsia="da-DK"/>
        </w:rPr>
        <w:t>Indledning</w:t>
      </w:r>
    </w:p>
    <w:p w:rsidR="003C7F5E" w:rsidRDefault="003C7F5E">
      <w:pPr>
        <w:sectPr w:rsidR="003C7F5E" w:rsidSect="00F72050">
          <w:pgSz w:w="11907" w:h="16840" w:code="9"/>
          <w:pgMar w:top="2325" w:right="2835" w:bottom="1361" w:left="1418" w:header="2325" w:footer="709" w:gutter="0"/>
          <w:cols w:space="708"/>
          <w:docGrid w:linePitch="360"/>
        </w:sectPr>
      </w:pPr>
    </w:p>
    <w:p w:rsidR="003C7F5E" w:rsidRDefault="003C7F5E">
      <w:r>
        <w:lastRenderedPageBreak/>
        <w:t>Metadata – data om data – betegner ikke en entydig klasse af data. Anvendelsen af betegnelsen metadata knytter sig typisk til et specifikt perspektiv på data: De data, som er forretningsrelevante i en given sammenhæng, kaldes data, mens de data, som giver kontekst til de forretningsrelevante data, kaldes metadata.</w:t>
      </w:r>
    </w:p>
    <w:p w:rsidR="003C7F5E" w:rsidRDefault="003C7F5E"/>
    <w:p w:rsidR="003C7F5E" w:rsidRDefault="003C7F5E">
      <w:r>
        <w:t>I det følgende beskrives en række typer af metadata, som man ofte opererer med inden for den offentlige dataforvaltning.</w:t>
      </w:r>
    </w:p>
    <w:p w:rsidR="003C7F5E" w:rsidRDefault="003C7F5E"/>
    <w:p w:rsidR="003C7F5E" w:rsidRDefault="003C7F5E">
      <w:r>
        <w:t>For hver type angives:</w:t>
      </w:r>
    </w:p>
    <w:p w:rsidR="003C7F5E" w:rsidRDefault="003C7F5E"/>
    <w:p w:rsidR="003C7F5E" w:rsidRDefault="003C7F5E">
      <w:r>
        <w:t>Beskrivelse</w:t>
      </w:r>
      <w:r>
        <w:tab/>
      </w:r>
      <w:proofErr w:type="spellStart"/>
      <w:r>
        <w:t>Beskrivelse</w:t>
      </w:r>
      <w:proofErr w:type="spellEnd"/>
      <w:r>
        <w:t xml:space="preserve"> af typen af metadata.</w:t>
      </w:r>
    </w:p>
    <w:p w:rsidR="003C7F5E" w:rsidRDefault="003C7F5E" w:rsidP="00973E34">
      <w:pPr>
        <w:ind w:left="1440" w:hanging="1440"/>
      </w:pPr>
      <w:r>
        <w:t>Eksempler</w:t>
      </w:r>
      <w:r>
        <w:tab/>
      </w:r>
      <w:proofErr w:type="spellStart"/>
      <w:r>
        <w:t>Eksempler</w:t>
      </w:r>
      <w:proofErr w:type="spellEnd"/>
      <w:r>
        <w:t xml:space="preserve"> på denne type af metadata og de informationer, denne type metadata kunne indeholde.</w:t>
      </w:r>
    </w:p>
    <w:p w:rsidR="003C7F5E" w:rsidRDefault="003C7F5E" w:rsidP="00715197">
      <w:pPr>
        <w:ind w:left="1440" w:hanging="1440"/>
      </w:pPr>
      <w:r>
        <w:t>Grunddata</w:t>
      </w:r>
      <w:r>
        <w:tab/>
        <w:t xml:space="preserve">Beskrivelse af hvordan denne type metadata håndteres i </w:t>
      </w:r>
      <w:proofErr w:type="spellStart"/>
      <w:r>
        <w:t>grunddata</w:t>
      </w:r>
      <w:proofErr w:type="spellEnd"/>
      <w:r>
        <w:t xml:space="preserve">, </w:t>
      </w:r>
      <w:proofErr w:type="gramStart"/>
      <w:r>
        <w:t>herunder om der er fastsat fælles regler for indhold eller formater.</w:t>
      </w:r>
      <w:proofErr w:type="gramEnd"/>
    </w:p>
    <w:p w:rsidR="003C7F5E" w:rsidRDefault="003C7F5E" w:rsidP="00FB2080">
      <w:pPr>
        <w:ind w:left="1440" w:hanging="1440"/>
      </w:pPr>
      <w:r>
        <w:t>Service</w:t>
      </w:r>
      <w:r>
        <w:tab/>
        <w:t>Overvejelser og anbefalinger om hvordan denne type metadata bedst håndteres i forhold til services.</w:t>
      </w:r>
    </w:p>
    <w:p w:rsidR="003C7F5E" w:rsidRDefault="003C7F5E" w:rsidP="00FB2080">
      <w:pPr>
        <w:ind w:left="1440" w:hanging="1440"/>
      </w:pPr>
    </w:p>
    <w:tbl>
      <w:tblPr>
        <w:tblW w:w="0" w:type="auto"/>
        <w:jc w:val="center"/>
        <w:tblCellMar>
          <w:left w:w="0" w:type="dxa"/>
          <w:right w:w="170" w:type="dxa"/>
        </w:tblCellMar>
        <w:tblLook w:val="01E0" w:firstRow="1" w:lastRow="1" w:firstColumn="1" w:lastColumn="1" w:noHBand="0" w:noVBand="0"/>
      </w:tblPr>
      <w:tblGrid>
        <w:gridCol w:w="1510"/>
        <w:gridCol w:w="6284"/>
      </w:tblGrid>
      <w:tr w:rsidR="003C7F5E" w:rsidTr="00450032">
        <w:trPr>
          <w:jc w:val="center"/>
        </w:trPr>
        <w:tc>
          <w:tcPr>
            <w:tcW w:w="7794" w:type="dxa"/>
            <w:gridSpan w:val="2"/>
            <w:tcBorders>
              <w:top w:val="nil"/>
              <w:left w:val="nil"/>
              <w:bottom w:val="single" w:sz="4" w:space="0" w:color="auto"/>
              <w:right w:val="nil"/>
            </w:tcBorders>
          </w:tcPr>
          <w:p w:rsidR="003C7F5E" w:rsidRDefault="003C7F5E" w:rsidP="00B22EF2">
            <w:pPr>
              <w:pStyle w:val="Overskrift1"/>
            </w:pPr>
            <w:r>
              <w:t>Datasæt-metadata</w:t>
            </w:r>
          </w:p>
        </w:tc>
      </w:tr>
      <w:tr w:rsidR="003C7F5E" w:rsidTr="00450032">
        <w:trPr>
          <w:jc w:val="center"/>
        </w:trPr>
        <w:tc>
          <w:tcPr>
            <w:tcW w:w="1510" w:type="dxa"/>
          </w:tcPr>
          <w:p w:rsidR="003C7F5E" w:rsidRDefault="003C7F5E" w:rsidP="00715197">
            <w:r>
              <w:t>Beskrivelse</w:t>
            </w:r>
          </w:p>
        </w:tc>
        <w:tc>
          <w:tcPr>
            <w:tcW w:w="6284" w:type="dxa"/>
          </w:tcPr>
          <w:p w:rsidR="003C7F5E" w:rsidRPr="00715197" w:rsidRDefault="003C7F5E" w:rsidP="00715197">
            <w:r w:rsidRPr="00715197">
              <w:t xml:space="preserve">Data, som beskriver en samling af dataobjekter, som findes i et </w:t>
            </w:r>
          </w:p>
          <w:p w:rsidR="003C7F5E" w:rsidRDefault="003C7F5E" w:rsidP="00715197">
            <w:r w:rsidRPr="00715197">
              <w:t>register, og/eller som er etableret ud fra samme specifikation.</w:t>
            </w:r>
          </w:p>
          <w:p w:rsidR="003C7F5E" w:rsidRDefault="003C7F5E" w:rsidP="00715197"/>
        </w:tc>
      </w:tr>
      <w:tr w:rsidR="003C7F5E" w:rsidTr="00450032">
        <w:trPr>
          <w:trHeight w:val="2235"/>
          <w:jc w:val="center"/>
        </w:trPr>
        <w:tc>
          <w:tcPr>
            <w:tcW w:w="1510" w:type="dxa"/>
          </w:tcPr>
          <w:p w:rsidR="003C7F5E" w:rsidRDefault="003C7F5E" w:rsidP="00715197">
            <w:r>
              <w:t>Eksempler</w:t>
            </w:r>
          </w:p>
        </w:tc>
        <w:tc>
          <w:tcPr>
            <w:tcW w:w="6284" w:type="dxa"/>
          </w:tcPr>
          <w:p w:rsidR="003C7F5E" w:rsidRDefault="003C7F5E" w:rsidP="00715197">
            <w:r w:rsidRPr="00715197">
              <w:t xml:space="preserve">Et register kan operere med datasæt, indeholdende dataobjekter, som er indsamlet med </w:t>
            </w:r>
            <w:r w:rsidRPr="00450032">
              <w:rPr>
                <w:b/>
              </w:rPr>
              <w:t>fælles tilblivelseshistorie, kvalitetsbeskrivelse, omfang, lovhjemmel</w:t>
            </w:r>
            <w:r w:rsidRPr="00715197">
              <w:t xml:space="preserve"> etc.</w:t>
            </w:r>
          </w:p>
          <w:p w:rsidR="003C7F5E" w:rsidRDefault="003C7F5E" w:rsidP="00715197"/>
          <w:p w:rsidR="003C7F5E" w:rsidRDefault="003C7F5E" w:rsidP="00715197">
            <w:r w:rsidRPr="00715197">
              <w:t>Eksempelvis kan et helt geodata-datasæt (s</w:t>
            </w:r>
            <w:r>
              <w:t xml:space="preserve">om Danmarks Højdemodel) have </w:t>
            </w:r>
            <w:r w:rsidRPr="00715197">
              <w:t>metadata, som gælder for hele bestanden af dataobjekter, fx koordinatsystem, publikationsdato, præcision.</w:t>
            </w:r>
          </w:p>
          <w:p w:rsidR="003C7F5E" w:rsidRPr="00715197" w:rsidRDefault="003C7F5E" w:rsidP="00715197"/>
        </w:tc>
      </w:tr>
      <w:tr w:rsidR="003C7F5E" w:rsidTr="00450032">
        <w:trPr>
          <w:jc w:val="center"/>
        </w:trPr>
        <w:tc>
          <w:tcPr>
            <w:tcW w:w="1510" w:type="dxa"/>
          </w:tcPr>
          <w:p w:rsidR="003C7F5E" w:rsidRDefault="003C7F5E" w:rsidP="00715197">
            <w:r>
              <w:t>Grunddata</w:t>
            </w:r>
          </w:p>
        </w:tc>
        <w:tc>
          <w:tcPr>
            <w:tcW w:w="6284" w:type="dxa"/>
          </w:tcPr>
          <w:p w:rsidR="003C7F5E" w:rsidRDefault="003C7F5E" w:rsidP="00B22EF2">
            <w:r w:rsidRPr="00B22EF2">
              <w:t>Der er pt</w:t>
            </w:r>
            <w:r>
              <w:t>.</w:t>
            </w:r>
            <w:r w:rsidRPr="00B22EF2">
              <w:t xml:space="preserve"> ingen fælles regler eller standarder gældende fo</w:t>
            </w:r>
            <w:r>
              <w:t>r denne type metadata inden for</w:t>
            </w:r>
            <w:r w:rsidRPr="00B22EF2">
              <w:t> grunddataprogrammet. Udstillingen specificeres af den pågældende registermyndighed.</w:t>
            </w:r>
          </w:p>
          <w:p w:rsidR="003C7F5E" w:rsidRPr="00B22EF2" w:rsidRDefault="003C7F5E" w:rsidP="00B22EF2"/>
          <w:p w:rsidR="003C7F5E" w:rsidRDefault="003C7F5E" w:rsidP="00B22EF2">
            <w:r w:rsidRPr="00B22EF2">
              <w:t>Det kan anbefales, at data modelleres på en måde, så der skabes relation mellem de enkelte data-objekter og deres generelle metadata; eksempelvis ved at de generelle metadata repliceres som attributter på hvert data-objekt, eller ved at data-objektet har en relation til et data-objekt, der repræsenterer datasættet og dettes metadata.</w:t>
            </w:r>
          </w:p>
          <w:p w:rsidR="003C7F5E" w:rsidRDefault="003C7F5E" w:rsidP="00B22EF2"/>
        </w:tc>
      </w:tr>
      <w:tr w:rsidR="003C7F5E" w:rsidTr="00450032">
        <w:trPr>
          <w:jc w:val="center"/>
        </w:trPr>
        <w:tc>
          <w:tcPr>
            <w:tcW w:w="1510" w:type="dxa"/>
            <w:tcBorders>
              <w:top w:val="nil"/>
              <w:left w:val="nil"/>
              <w:bottom w:val="single" w:sz="4" w:space="0" w:color="auto"/>
              <w:right w:val="nil"/>
            </w:tcBorders>
          </w:tcPr>
          <w:p w:rsidR="003C7F5E" w:rsidRDefault="003C7F5E" w:rsidP="00715197">
            <w:r>
              <w:lastRenderedPageBreak/>
              <w:t>Service</w:t>
            </w:r>
          </w:p>
        </w:tc>
        <w:tc>
          <w:tcPr>
            <w:tcW w:w="6284" w:type="dxa"/>
            <w:tcBorders>
              <w:top w:val="nil"/>
              <w:left w:val="nil"/>
              <w:bottom w:val="single" w:sz="4" w:space="0" w:color="auto"/>
              <w:right w:val="nil"/>
            </w:tcBorders>
          </w:tcPr>
          <w:p w:rsidR="003C7F5E" w:rsidRPr="00B22EF2" w:rsidRDefault="003C7F5E" w:rsidP="00B22EF2">
            <w:r w:rsidRPr="00B22EF2">
              <w:t>Hvis data er modelleret, som beskrevet ovenfor, kan registermyndigheden specificere services, som leverer datasæt-metadata i tilknytning til data.</w:t>
            </w:r>
          </w:p>
        </w:tc>
      </w:tr>
    </w:tbl>
    <w:p w:rsidR="003C7F5E" w:rsidRDefault="003C7F5E" w:rsidP="00715197"/>
    <w:tbl>
      <w:tblPr>
        <w:tblW w:w="0" w:type="auto"/>
        <w:jc w:val="center"/>
        <w:tblCellMar>
          <w:left w:w="0" w:type="dxa"/>
          <w:right w:w="170" w:type="dxa"/>
        </w:tblCellMar>
        <w:tblLook w:val="01E0" w:firstRow="1" w:lastRow="1" w:firstColumn="1" w:lastColumn="1" w:noHBand="0" w:noVBand="0"/>
      </w:tblPr>
      <w:tblGrid>
        <w:gridCol w:w="1510"/>
        <w:gridCol w:w="6284"/>
      </w:tblGrid>
      <w:tr w:rsidR="003C7F5E" w:rsidTr="00450032">
        <w:trPr>
          <w:jc w:val="center"/>
        </w:trPr>
        <w:tc>
          <w:tcPr>
            <w:tcW w:w="7794" w:type="dxa"/>
            <w:gridSpan w:val="2"/>
            <w:tcBorders>
              <w:top w:val="nil"/>
              <w:left w:val="nil"/>
              <w:bottom w:val="single" w:sz="4" w:space="0" w:color="auto"/>
              <w:right w:val="nil"/>
            </w:tcBorders>
          </w:tcPr>
          <w:p w:rsidR="003C7F5E" w:rsidRDefault="003C7F5E" w:rsidP="00227421">
            <w:pPr>
              <w:pStyle w:val="Overskrift1"/>
            </w:pPr>
            <w:r>
              <w:t>Dataobjekt-metadata</w:t>
            </w:r>
          </w:p>
        </w:tc>
      </w:tr>
      <w:tr w:rsidR="003C7F5E" w:rsidTr="00450032">
        <w:trPr>
          <w:jc w:val="center"/>
        </w:trPr>
        <w:tc>
          <w:tcPr>
            <w:tcW w:w="1510" w:type="dxa"/>
          </w:tcPr>
          <w:p w:rsidR="003C7F5E" w:rsidRDefault="003C7F5E" w:rsidP="00227421">
            <w:r>
              <w:t>Beskrivelse</w:t>
            </w:r>
          </w:p>
        </w:tc>
        <w:tc>
          <w:tcPr>
            <w:tcW w:w="6284" w:type="dxa"/>
          </w:tcPr>
          <w:p w:rsidR="003C7F5E" w:rsidRDefault="003C7F5E" w:rsidP="00B22EF2">
            <w:r w:rsidRPr="00B22EF2">
              <w:t>Data, som beskriver dataobjektet, men ikke er centrale forretningsdata.</w:t>
            </w:r>
          </w:p>
          <w:p w:rsidR="003C7F5E" w:rsidRPr="00B22EF2" w:rsidRDefault="003C7F5E" w:rsidP="00B22EF2"/>
        </w:tc>
      </w:tr>
      <w:tr w:rsidR="003C7F5E" w:rsidTr="00450032">
        <w:trPr>
          <w:trHeight w:val="2520"/>
          <w:jc w:val="center"/>
        </w:trPr>
        <w:tc>
          <w:tcPr>
            <w:tcW w:w="1510" w:type="dxa"/>
          </w:tcPr>
          <w:p w:rsidR="003C7F5E" w:rsidRDefault="003C7F5E" w:rsidP="00227421">
            <w:r>
              <w:t>Eksempler</w:t>
            </w:r>
          </w:p>
        </w:tc>
        <w:tc>
          <w:tcPr>
            <w:tcW w:w="6284" w:type="dxa"/>
          </w:tcPr>
          <w:p w:rsidR="003C7F5E" w:rsidRDefault="003C7F5E" w:rsidP="00B22EF2">
            <w:proofErr w:type="spellStart"/>
            <w:r w:rsidRPr="00450032">
              <w:rPr>
                <w:b/>
              </w:rPr>
              <w:t>Bitemporale</w:t>
            </w:r>
            <w:proofErr w:type="spellEnd"/>
            <w:r w:rsidRPr="00450032">
              <w:rPr>
                <w:b/>
              </w:rPr>
              <w:t xml:space="preserve"> egenskaber, oprindelsesoplysninger, kvalitetsbeskrivelse, aktører.</w:t>
            </w:r>
            <w:r w:rsidRPr="00B22EF2">
              <w:t xml:space="preserve"> Disse metadata er - alt efter synsvinkel - enten centrale data eller data, som beskriver det enkelte data-objekts historik og organisatoriske tilknytning.</w:t>
            </w:r>
          </w:p>
          <w:p w:rsidR="003C7F5E" w:rsidRDefault="003C7F5E" w:rsidP="00B22EF2"/>
          <w:p w:rsidR="003C7F5E" w:rsidRDefault="003C7F5E" w:rsidP="00B22EF2">
            <w:r w:rsidRPr="00B22EF2">
              <w:t>Hvis data-objektet eksempelvis omfatter Ejendomsnummer og Ejerforholdskode og Landsejerlavskode/tekst, så kan data som Revisionsdato, Teknisk standard, Nøjagtighedsklasse og Kilde siges at være dataobjekt-metadata.</w:t>
            </w:r>
          </w:p>
          <w:p w:rsidR="003C7F5E" w:rsidRPr="00B22EF2" w:rsidRDefault="003C7F5E" w:rsidP="00B22EF2"/>
        </w:tc>
      </w:tr>
      <w:tr w:rsidR="003C7F5E" w:rsidTr="00450032">
        <w:trPr>
          <w:jc w:val="center"/>
        </w:trPr>
        <w:tc>
          <w:tcPr>
            <w:tcW w:w="1510" w:type="dxa"/>
          </w:tcPr>
          <w:p w:rsidR="003C7F5E" w:rsidRDefault="003C7F5E" w:rsidP="00227421">
            <w:r>
              <w:t>Grunddata</w:t>
            </w:r>
          </w:p>
        </w:tc>
        <w:tc>
          <w:tcPr>
            <w:tcW w:w="6284" w:type="dxa"/>
          </w:tcPr>
          <w:p w:rsidR="003C7F5E" w:rsidRDefault="003C7F5E" w:rsidP="00B22EF2">
            <w:r w:rsidRPr="00B22EF2">
              <w:t xml:space="preserve">“Modelregler for </w:t>
            </w:r>
            <w:proofErr w:type="spellStart"/>
            <w:r w:rsidRPr="00B22EF2">
              <w:t>grunddata</w:t>
            </w:r>
            <w:proofErr w:type="spellEnd"/>
            <w:r w:rsidRPr="00B22EF2">
              <w:t xml:space="preserve">” definerer en række generelle egenskaber (kapitel 6), som kunne betegnes som metadata, bl.a. </w:t>
            </w:r>
            <w:proofErr w:type="spellStart"/>
            <w:r w:rsidRPr="00B22EF2">
              <w:t>bitemporale</w:t>
            </w:r>
            <w:proofErr w:type="spellEnd"/>
            <w:r w:rsidRPr="00B22EF2">
              <w:t xml:space="preserve"> egenskaber samt oplysninger om aktør og status. Der er i modelreglerne fastsat krav til formater og indhold af de generelle egenskaber.</w:t>
            </w:r>
          </w:p>
          <w:p w:rsidR="003C7F5E" w:rsidRPr="00B22EF2" w:rsidRDefault="003C7F5E" w:rsidP="00B22EF2"/>
          <w:p w:rsidR="003C7F5E" w:rsidRDefault="003C7F5E" w:rsidP="00B22EF2">
            <w:r w:rsidRPr="00B22EF2">
              <w:t>På Datafordeleren vil dataobjektet også indeholde oplysninger om tidspunkt for Datafordelerens kopi.</w:t>
            </w:r>
          </w:p>
          <w:p w:rsidR="003C7F5E" w:rsidRPr="00B22EF2" w:rsidRDefault="003C7F5E" w:rsidP="00B22EF2"/>
          <w:p w:rsidR="003C7F5E" w:rsidRDefault="003C7F5E" w:rsidP="00B22EF2">
            <w:r w:rsidRPr="00B22EF2">
              <w:t>Med hensyn til oplysninger om oprindelse, kvalitet og lignende har datamodel-projektet ikke fundet det hensigtsmæssigt at fastsætte en generel standard herfor, da oplysningerne vil have vidt forskellig karakter fra datadomæne til datadomæne. Det er derfor op til den enkelte registermyndighed at fastsætte regler herfor efter behov.</w:t>
            </w:r>
          </w:p>
          <w:p w:rsidR="003C7F5E" w:rsidRPr="00B22EF2" w:rsidRDefault="003C7F5E" w:rsidP="00B22EF2"/>
        </w:tc>
      </w:tr>
      <w:tr w:rsidR="003C7F5E" w:rsidTr="00450032">
        <w:trPr>
          <w:jc w:val="center"/>
        </w:trPr>
        <w:tc>
          <w:tcPr>
            <w:tcW w:w="1510" w:type="dxa"/>
            <w:tcBorders>
              <w:top w:val="nil"/>
              <w:left w:val="nil"/>
              <w:bottom w:val="single" w:sz="4" w:space="0" w:color="auto"/>
              <w:right w:val="nil"/>
            </w:tcBorders>
          </w:tcPr>
          <w:p w:rsidR="003C7F5E" w:rsidRDefault="003C7F5E" w:rsidP="00227421">
            <w:r>
              <w:t>Service</w:t>
            </w:r>
          </w:p>
        </w:tc>
        <w:tc>
          <w:tcPr>
            <w:tcW w:w="6284" w:type="dxa"/>
            <w:tcBorders>
              <w:top w:val="nil"/>
              <w:left w:val="nil"/>
              <w:bottom w:val="single" w:sz="4" w:space="0" w:color="auto"/>
              <w:right w:val="nil"/>
            </w:tcBorders>
          </w:tcPr>
          <w:p w:rsidR="003C7F5E" w:rsidRPr="00B22EF2" w:rsidRDefault="003C7F5E" w:rsidP="00B22EF2">
            <w:r w:rsidRPr="00B22EF2">
              <w:t xml:space="preserve">Dataobjekt-metadata udstilles sammen med data på linje med </w:t>
            </w:r>
            <w:r w:rsidRPr="00B22EF2">
              <w:lastRenderedPageBreak/>
              <w:t>andre attributter. Registermyndigheden kan vælge at specificere services, som udelukkende leverer dataobjekt-metadata.</w:t>
            </w:r>
          </w:p>
        </w:tc>
      </w:tr>
    </w:tbl>
    <w:p w:rsidR="003C7F5E" w:rsidRDefault="003C7F5E" w:rsidP="00715197"/>
    <w:p w:rsidR="003C7F5E" w:rsidRDefault="003C7F5E" w:rsidP="00715197"/>
    <w:tbl>
      <w:tblPr>
        <w:tblW w:w="0" w:type="auto"/>
        <w:jc w:val="center"/>
        <w:tblCellMar>
          <w:left w:w="0" w:type="dxa"/>
          <w:right w:w="170" w:type="dxa"/>
        </w:tblCellMar>
        <w:tblLook w:val="01E0" w:firstRow="1" w:lastRow="1" w:firstColumn="1" w:lastColumn="1" w:noHBand="0" w:noVBand="0"/>
      </w:tblPr>
      <w:tblGrid>
        <w:gridCol w:w="1510"/>
        <w:gridCol w:w="6284"/>
      </w:tblGrid>
      <w:tr w:rsidR="003C7F5E" w:rsidTr="00450032">
        <w:trPr>
          <w:jc w:val="center"/>
        </w:trPr>
        <w:tc>
          <w:tcPr>
            <w:tcW w:w="7794" w:type="dxa"/>
            <w:gridSpan w:val="2"/>
            <w:tcBorders>
              <w:top w:val="nil"/>
              <w:left w:val="nil"/>
              <w:bottom w:val="single" w:sz="4" w:space="0" w:color="auto"/>
              <w:right w:val="nil"/>
            </w:tcBorders>
          </w:tcPr>
          <w:p w:rsidR="003C7F5E" w:rsidRDefault="003C7F5E" w:rsidP="00227421">
            <w:pPr>
              <w:pStyle w:val="Overskrift1"/>
            </w:pPr>
            <w:r>
              <w:t>Definitioner og beskrivelser</w:t>
            </w:r>
          </w:p>
        </w:tc>
      </w:tr>
      <w:tr w:rsidR="003C7F5E" w:rsidTr="00450032">
        <w:trPr>
          <w:jc w:val="center"/>
        </w:trPr>
        <w:tc>
          <w:tcPr>
            <w:tcW w:w="1510" w:type="dxa"/>
          </w:tcPr>
          <w:p w:rsidR="003C7F5E" w:rsidRDefault="003C7F5E" w:rsidP="00227421">
            <w:r>
              <w:t>Beskrivelse</w:t>
            </w:r>
          </w:p>
        </w:tc>
        <w:tc>
          <w:tcPr>
            <w:tcW w:w="6284" w:type="dxa"/>
          </w:tcPr>
          <w:p w:rsidR="003C7F5E" w:rsidRDefault="003C7F5E" w:rsidP="00973E34">
            <w:r w:rsidRPr="00973E34">
              <w:t>Beskrivelser af de forretningsobjekter, som data omhandler.</w:t>
            </w:r>
          </w:p>
          <w:p w:rsidR="003C7F5E" w:rsidRPr="00973E34" w:rsidRDefault="003C7F5E" w:rsidP="00973E34"/>
        </w:tc>
      </w:tr>
      <w:tr w:rsidR="003C7F5E" w:rsidTr="00450032">
        <w:trPr>
          <w:trHeight w:val="3360"/>
          <w:jc w:val="center"/>
        </w:trPr>
        <w:tc>
          <w:tcPr>
            <w:tcW w:w="1510" w:type="dxa"/>
          </w:tcPr>
          <w:p w:rsidR="003C7F5E" w:rsidRDefault="003C7F5E" w:rsidP="00227421">
            <w:r>
              <w:t>Eksempler</w:t>
            </w:r>
          </w:p>
        </w:tc>
        <w:tc>
          <w:tcPr>
            <w:tcW w:w="6284" w:type="dxa"/>
          </w:tcPr>
          <w:p w:rsidR="003C7F5E" w:rsidRPr="00450032" w:rsidRDefault="003C7F5E" w:rsidP="00973E34">
            <w:pPr>
              <w:rPr>
                <w:b/>
              </w:rPr>
            </w:pPr>
            <w:r w:rsidRPr="00450032">
              <w:rPr>
                <w:b/>
              </w:rPr>
              <w:t>Definitioner af forvaltningsobjektet, definitioner af attributter, indhold af værdilister.</w:t>
            </w:r>
          </w:p>
          <w:p w:rsidR="003C7F5E" w:rsidRPr="00973E34" w:rsidRDefault="003C7F5E" w:rsidP="00973E34"/>
          <w:p w:rsidR="003C7F5E" w:rsidRDefault="003C7F5E" w:rsidP="00973E34">
            <w:r w:rsidRPr="00973E34">
              <w:t xml:space="preserve">Hvis datamodellen for eksempel indeholder et objekt “Byggesag”, vil det være relevant, at der findes en definition af objektet, som beskriver, hvad der forstås ved en byggesag. Sådanne beskrivelser er vigtige, dels for at sikre datakvaliteten ved at udbrede en fælles forståelse af, hvad dataobjektet beskriver, </w:t>
            </w:r>
            <w:r>
              <w:t>dels som udgang</w:t>
            </w:r>
            <w:r w:rsidRPr="00973E34">
              <w:t>spunkt for applikationsudvikling, hvor beskrivelserne kan indgå som forklaringer for de fremviste eller behandlede data.</w:t>
            </w:r>
          </w:p>
          <w:p w:rsidR="003C7F5E" w:rsidRPr="00973E34" w:rsidRDefault="003C7F5E" w:rsidP="00973E34"/>
        </w:tc>
      </w:tr>
      <w:tr w:rsidR="003C7F5E" w:rsidTr="00450032">
        <w:trPr>
          <w:jc w:val="center"/>
        </w:trPr>
        <w:tc>
          <w:tcPr>
            <w:tcW w:w="1510" w:type="dxa"/>
          </w:tcPr>
          <w:p w:rsidR="003C7F5E" w:rsidRDefault="003C7F5E" w:rsidP="00227421">
            <w:r>
              <w:t>Grunddata</w:t>
            </w:r>
          </w:p>
        </w:tc>
        <w:tc>
          <w:tcPr>
            <w:tcW w:w="6284" w:type="dxa"/>
          </w:tcPr>
          <w:p w:rsidR="003C7F5E" w:rsidRPr="00973E34" w:rsidRDefault="003C7F5E" w:rsidP="00973E34">
            <w:r w:rsidRPr="00973E34">
              <w:t xml:space="preserve">“Modelregler for </w:t>
            </w:r>
            <w:proofErr w:type="spellStart"/>
            <w:r w:rsidRPr="00973E34">
              <w:t>grunddata</w:t>
            </w:r>
            <w:proofErr w:type="spellEnd"/>
            <w:r w:rsidRPr="00973E34">
              <w:t xml:space="preserve">” stiller krav om dokumentation af datamodellen (se regel 5.9) i form af beskrivelser af alle model-elementer (klasser, attributter, relationer) inkl. bl.a. navn og definition. Beskrivelserne er indlejret i og vedligeholdes sammen med UML-modellen. Der er fastsat krav til formater og indhold. </w:t>
            </w:r>
          </w:p>
          <w:p w:rsidR="003C7F5E" w:rsidRDefault="003C7F5E" w:rsidP="00973E34">
            <w:r w:rsidRPr="00973E34">
              <w:t>Værdilister skal i grunddatamodellen modelleres og fremgå eksplicit af datamodellen og modelreglerne anviser forskellige formater herfor (se regel 5.6).</w:t>
            </w:r>
          </w:p>
          <w:p w:rsidR="003C7F5E" w:rsidRPr="00973E34" w:rsidRDefault="003C7F5E" w:rsidP="00973E34"/>
          <w:p w:rsidR="003C7F5E" w:rsidRDefault="003C7F5E" w:rsidP="00973E34">
            <w:r w:rsidRPr="00973E34">
              <w:t xml:space="preserve">Beskrivelser og definitioner, som er korrekt placeret i UML-modellen kan </w:t>
            </w:r>
            <w:proofErr w:type="spellStart"/>
            <w:r w:rsidRPr="00973E34">
              <w:t>outputtes</w:t>
            </w:r>
            <w:proofErr w:type="spellEnd"/>
            <w:r w:rsidRPr="00973E34">
              <w:t xml:space="preserve"> i XMI-versionen af modellen, og kan derfra tran</w:t>
            </w:r>
            <w:r>
              <w:t>s</w:t>
            </w:r>
            <w:r w:rsidRPr="00973E34">
              <w:t xml:space="preserve">formeres til det ønskede snitfladeformat. Fx kan definitionerne indlejres som kommentarer i XML </w:t>
            </w:r>
            <w:proofErr w:type="spellStart"/>
            <w:r w:rsidRPr="00973E34">
              <w:t>schema</w:t>
            </w:r>
            <w:proofErr w:type="spellEnd"/>
            <w:r w:rsidRPr="00973E34">
              <w:t xml:space="preserve"> eller placeres direkte i XML dokumentet.</w:t>
            </w:r>
          </w:p>
          <w:p w:rsidR="003C7F5E" w:rsidRPr="00973E34" w:rsidRDefault="003C7F5E" w:rsidP="00973E34"/>
        </w:tc>
      </w:tr>
      <w:tr w:rsidR="003C7F5E" w:rsidTr="00450032">
        <w:trPr>
          <w:jc w:val="center"/>
        </w:trPr>
        <w:tc>
          <w:tcPr>
            <w:tcW w:w="1510" w:type="dxa"/>
            <w:tcBorders>
              <w:top w:val="nil"/>
              <w:left w:val="nil"/>
              <w:bottom w:val="single" w:sz="4" w:space="0" w:color="auto"/>
              <w:right w:val="nil"/>
            </w:tcBorders>
          </w:tcPr>
          <w:p w:rsidR="003C7F5E" w:rsidRDefault="003C7F5E" w:rsidP="00227421">
            <w:r>
              <w:t>Service</w:t>
            </w:r>
          </w:p>
        </w:tc>
        <w:tc>
          <w:tcPr>
            <w:tcW w:w="6284" w:type="dxa"/>
            <w:tcBorders>
              <w:top w:val="nil"/>
              <w:left w:val="nil"/>
              <w:bottom w:val="single" w:sz="4" w:space="0" w:color="auto"/>
              <w:right w:val="nil"/>
            </w:tcBorders>
          </w:tcPr>
          <w:p w:rsidR="003C7F5E" w:rsidRDefault="003C7F5E" w:rsidP="00973E34">
            <w:r w:rsidRPr="00973E34">
              <w:t>Registermyndighederne kan vælge at konstruere services således, at det er muligt, at vælge om objektdefinitioner skal leveres indlejret i data - evt. også om det skal være i skemaet eller i dokumentet/instansen.</w:t>
            </w:r>
          </w:p>
          <w:p w:rsidR="003C7F5E" w:rsidRPr="00973E34" w:rsidRDefault="003C7F5E" w:rsidP="00973E34"/>
          <w:p w:rsidR="003C7F5E" w:rsidRPr="00973E34" w:rsidRDefault="003C7F5E" w:rsidP="00973E34">
            <w:r>
              <w:t>Datamodellen</w:t>
            </w:r>
            <w:r w:rsidRPr="00973E34">
              <w:t xml:space="preserve"> udstyres med tjenester, som kan generere samlinger af definitioner (feature </w:t>
            </w:r>
            <w:proofErr w:type="spellStart"/>
            <w:r w:rsidRPr="00973E34">
              <w:t>catalogs</w:t>
            </w:r>
            <w:proofErr w:type="spellEnd"/>
            <w:r w:rsidRPr="00973E34">
              <w:t>) i et antal (</w:t>
            </w:r>
            <w:proofErr w:type="spellStart"/>
            <w:r w:rsidRPr="00973E34">
              <w:t>maskin</w:t>
            </w:r>
            <w:proofErr w:type="spellEnd"/>
            <w:r w:rsidRPr="00973E34">
              <w:t>/menneskelæselige) formater.</w:t>
            </w:r>
          </w:p>
        </w:tc>
      </w:tr>
    </w:tbl>
    <w:p w:rsidR="003C7F5E" w:rsidRDefault="003C7F5E" w:rsidP="00715197"/>
    <w:p w:rsidR="003C7F5E" w:rsidRDefault="003C7F5E" w:rsidP="00715197"/>
    <w:tbl>
      <w:tblPr>
        <w:tblW w:w="0" w:type="auto"/>
        <w:jc w:val="center"/>
        <w:tblCellMar>
          <w:left w:w="0" w:type="dxa"/>
          <w:right w:w="170" w:type="dxa"/>
        </w:tblCellMar>
        <w:tblLook w:val="01E0" w:firstRow="1" w:lastRow="1" w:firstColumn="1" w:lastColumn="1" w:noHBand="0" w:noVBand="0"/>
      </w:tblPr>
      <w:tblGrid>
        <w:gridCol w:w="1510"/>
        <w:gridCol w:w="6284"/>
      </w:tblGrid>
      <w:tr w:rsidR="003C7F5E" w:rsidTr="00450032">
        <w:trPr>
          <w:jc w:val="center"/>
        </w:trPr>
        <w:tc>
          <w:tcPr>
            <w:tcW w:w="7794" w:type="dxa"/>
            <w:gridSpan w:val="2"/>
            <w:tcBorders>
              <w:top w:val="nil"/>
              <w:left w:val="nil"/>
              <w:bottom w:val="single" w:sz="4" w:space="0" w:color="auto"/>
              <w:right w:val="nil"/>
            </w:tcBorders>
          </w:tcPr>
          <w:p w:rsidR="003C7F5E" w:rsidRDefault="003C7F5E" w:rsidP="00227421">
            <w:pPr>
              <w:pStyle w:val="Overskrift1"/>
            </w:pPr>
            <w:r>
              <w:t>Transaktions-metadata</w:t>
            </w:r>
          </w:p>
        </w:tc>
      </w:tr>
      <w:tr w:rsidR="003C7F5E" w:rsidTr="00450032">
        <w:trPr>
          <w:jc w:val="center"/>
        </w:trPr>
        <w:tc>
          <w:tcPr>
            <w:tcW w:w="1510" w:type="dxa"/>
          </w:tcPr>
          <w:p w:rsidR="003C7F5E" w:rsidRDefault="003C7F5E" w:rsidP="00227421">
            <w:r>
              <w:t>Beskrivelse</w:t>
            </w:r>
          </w:p>
        </w:tc>
        <w:tc>
          <w:tcPr>
            <w:tcW w:w="6284" w:type="dxa"/>
          </w:tcPr>
          <w:p w:rsidR="003C7F5E" w:rsidRDefault="003C7F5E" w:rsidP="00B22EF2">
            <w:r w:rsidRPr="00B22EF2">
              <w:t>Data, som beskriver de data, som leveres i en service.</w:t>
            </w:r>
          </w:p>
          <w:p w:rsidR="003C7F5E" w:rsidRPr="00B22EF2" w:rsidRDefault="003C7F5E" w:rsidP="00B22EF2"/>
        </w:tc>
      </w:tr>
      <w:tr w:rsidR="003C7F5E" w:rsidTr="00450032">
        <w:trPr>
          <w:trHeight w:val="3360"/>
          <w:jc w:val="center"/>
        </w:trPr>
        <w:tc>
          <w:tcPr>
            <w:tcW w:w="1510" w:type="dxa"/>
          </w:tcPr>
          <w:p w:rsidR="003C7F5E" w:rsidRDefault="003C7F5E" w:rsidP="00227421">
            <w:r>
              <w:t>Eksempler</w:t>
            </w:r>
          </w:p>
        </w:tc>
        <w:tc>
          <w:tcPr>
            <w:tcW w:w="6284" w:type="dxa"/>
          </w:tcPr>
          <w:p w:rsidR="003C7F5E" w:rsidRDefault="003C7F5E" w:rsidP="00B22EF2">
            <w:r w:rsidRPr="00450032">
              <w:rPr>
                <w:b/>
              </w:rPr>
              <w:t xml:space="preserve">Transaktionstidspunkt, overført datamængde, </w:t>
            </w:r>
            <w:proofErr w:type="spellStart"/>
            <w:r w:rsidRPr="00450032">
              <w:rPr>
                <w:b/>
              </w:rPr>
              <w:t>paging</w:t>
            </w:r>
            <w:proofErr w:type="spellEnd"/>
            <w:r w:rsidRPr="00450032">
              <w:rPr>
                <w:b/>
              </w:rPr>
              <w:t>-information, aktualitet ift. kilderegister.</w:t>
            </w:r>
            <w:r w:rsidRPr="00B22EF2">
              <w:t xml:space="preserve"> Evt. også relevante data-resuméer eller statistikker, fx min/max værdi samt sum for given attribut, kvalitetsbeskrivelser etc.</w:t>
            </w:r>
          </w:p>
          <w:p w:rsidR="003C7F5E" w:rsidRPr="00B22EF2" w:rsidRDefault="003C7F5E" w:rsidP="00B22EF2"/>
          <w:p w:rsidR="003C7F5E" w:rsidRDefault="003C7F5E" w:rsidP="00B22EF2">
            <w:r w:rsidRPr="00B22EF2">
              <w:t>Så snart et service-kald har returneret data, kan disse data beskrives med metadata, som knytter sig til netop denne data-bestand. Disse metadata kan være nyttige ift</w:t>
            </w:r>
            <w:r>
              <w:t>.</w:t>
            </w:r>
            <w:r w:rsidRPr="00B22EF2">
              <w:t xml:space="preserve"> applikationsdesign. De kan bruges til at karakterisere et søgeresultat uden nødvendigvis at vise alle poster, eller applikationen kan foretage relevante handlinger baseret på datamængde, aktualitet eller måske endda </w:t>
            </w:r>
            <w:proofErr w:type="spellStart"/>
            <w:r w:rsidRPr="00B22EF2">
              <w:t>konfidentialitet</w:t>
            </w:r>
            <w:proofErr w:type="spellEnd"/>
            <w:r w:rsidRPr="00B22EF2">
              <w:t>.</w:t>
            </w:r>
          </w:p>
          <w:p w:rsidR="003C7F5E" w:rsidRPr="00B22EF2" w:rsidRDefault="003C7F5E" w:rsidP="00B22EF2"/>
        </w:tc>
      </w:tr>
      <w:tr w:rsidR="003C7F5E" w:rsidTr="00450032">
        <w:trPr>
          <w:jc w:val="center"/>
        </w:trPr>
        <w:tc>
          <w:tcPr>
            <w:tcW w:w="1510" w:type="dxa"/>
          </w:tcPr>
          <w:p w:rsidR="003C7F5E" w:rsidRDefault="003C7F5E" w:rsidP="00227421">
            <w:r>
              <w:t>Grunddata</w:t>
            </w:r>
          </w:p>
        </w:tc>
        <w:tc>
          <w:tcPr>
            <w:tcW w:w="6284" w:type="dxa"/>
          </w:tcPr>
          <w:p w:rsidR="003C7F5E" w:rsidRDefault="003C7F5E" w:rsidP="00B22EF2">
            <w:r w:rsidRPr="00B22EF2">
              <w:t xml:space="preserve">Der er ingen regler gældende specielt for </w:t>
            </w:r>
            <w:proofErr w:type="spellStart"/>
            <w:r w:rsidRPr="00B22EF2">
              <w:t>grunddata</w:t>
            </w:r>
            <w:proofErr w:type="spellEnd"/>
            <w:r w:rsidRPr="00B22EF2">
              <w:t>, omhandlende denne type metadata.</w:t>
            </w:r>
          </w:p>
          <w:p w:rsidR="003C7F5E" w:rsidRPr="00B22EF2" w:rsidRDefault="003C7F5E" w:rsidP="00B22EF2"/>
        </w:tc>
      </w:tr>
      <w:tr w:rsidR="003C7F5E" w:rsidTr="00450032">
        <w:trPr>
          <w:jc w:val="center"/>
        </w:trPr>
        <w:tc>
          <w:tcPr>
            <w:tcW w:w="1510" w:type="dxa"/>
            <w:tcBorders>
              <w:top w:val="nil"/>
              <w:left w:val="nil"/>
              <w:bottom w:val="single" w:sz="4" w:space="0" w:color="auto"/>
              <w:right w:val="nil"/>
            </w:tcBorders>
          </w:tcPr>
          <w:p w:rsidR="003C7F5E" w:rsidRDefault="003C7F5E" w:rsidP="00227421">
            <w:r>
              <w:t>Service</w:t>
            </w:r>
          </w:p>
        </w:tc>
        <w:tc>
          <w:tcPr>
            <w:tcW w:w="6284" w:type="dxa"/>
            <w:tcBorders>
              <w:top w:val="nil"/>
              <w:left w:val="nil"/>
              <w:bottom w:val="single" w:sz="4" w:space="0" w:color="auto"/>
              <w:right w:val="nil"/>
            </w:tcBorders>
          </w:tcPr>
          <w:p w:rsidR="003C7F5E" w:rsidRPr="00B22EF2" w:rsidRDefault="003C7F5E" w:rsidP="00B22EF2">
            <w:r w:rsidRPr="00B22EF2">
              <w:t xml:space="preserve">Det er god skik at specificere services - både i REST og SOAP - som leverer </w:t>
            </w:r>
            <w:proofErr w:type="spellStart"/>
            <w:r w:rsidRPr="00B22EF2">
              <w:t>transaktionsmetadata</w:t>
            </w:r>
            <w:proofErr w:type="spellEnd"/>
            <w:r w:rsidRPr="00B22EF2">
              <w:t xml:space="preserve"> som udgangspunkt. For eksempel i </w:t>
            </w:r>
            <w:proofErr w:type="spellStart"/>
            <w:r w:rsidRPr="00B22EF2">
              <w:t>headere</w:t>
            </w:r>
            <w:proofErr w:type="spellEnd"/>
            <w:r w:rsidRPr="00B22EF2">
              <w:t xml:space="preserve"> eller indkapslende elementer. Prøv fx </w:t>
            </w:r>
            <w:hyperlink r:id="rId8" w:history="1">
              <w:r w:rsidRPr="00B22EF2">
                <w:rPr>
                  <w:rStyle w:val="Hyperlink"/>
                </w:rPr>
                <w:t>http://api.digitaliser.dk/rest/groups</w:t>
              </w:r>
            </w:hyperlink>
            <w:r w:rsidRPr="00B22EF2">
              <w:t>.</w:t>
            </w:r>
          </w:p>
        </w:tc>
      </w:tr>
    </w:tbl>
    <w:p w:rsidR="003C7F5E" w:rsidRDefault="003C7F5E" w:rsidP="00715197"/>
    <w:tbl>
      <w:tblPr>
        <w:tblW w:w="0" w:type="auto"/>
        <w:jc w:val="center"/>
        <w:tblCellMar>
          <w:left w:w="0" w:type="dxa"/>
          <w:right w:w="170" w:type="dxa"/>
        </w:tblCellMar>
        <w:tblLook w:val="01E0" w:firstRow="1" w:lastRow="1" w:firstColumn="1" w:lastColumn="1" w:noHBand="0" w:noVBand="0"/>
      </w:tblPr>
      <w:tblGrid>
        <w:gridCol w:w="1510"/>
        <w:gridCol w:w="6284"/>
      </w:tblGrid>
      <w:tr w:rsidR="003C7F5E" w:rsidTr="00450032">
        <w:trPr>
          <w:jc w:val="center"/>
        </w:trPr>
        <w:tc>
          <w:tcPr>
            <w:tcW w:w="7794" w:type="dxa"/>
            <w:gridSpan w:val="2"/>
            <w:tcBorders>
              <w:top w:val="nil"/>
              <w:left w:val="nil"/>
              <w:bottom w:val="single" w:sz="4" w:space="0" w:color="auto"/>
              <w:right w:val="nil"/>
            </w:tcBorders>
          </w:tcPr>
          <w:p w:rsidR="003C7F5E" w:rsidRDefault="003C7F5E" w:rsidP="00227421">
            <w:pPr>
              <w:pStyle w:val="Overskrift1"/>
            </w:pPr>
            <w:r>
              <w:t>Service-metadata</w:t>
            </w:r>
          </w:p>
        </w:tc>
      </w:tr>
      <w:tr w:rsidR="003C7F5E" w:rsidTr="00450032">
        <w:trPr>
          <w:jc w:val="center"/>
        </w:trPr>
        <w:tc>
          <w:tcPr>
            <w:tcW w:w="1510" w:type="dxa"/>
          </w:tcPr>
          <w:p w:rsidR="003C7F5E" w:rsidRDefault="003C7F5E" w:rsidP="00227421">
            <w:r>
              <w:t>Beskrivelse</w:t>
            </w:r>
          </w:p>
        </w:tc>
        <w:tc>
          <w:tcPr>
            <w:tcW w:w="6284" w:type="dxa"/>
          </w:tcPr>
          <w:p w:rsidR="003C7F5E" w:rsidRDefault="003C7F5E" w:rsidP="00B22EF2">
            <w:r w:rsidRPr="00B22EF2">
              <w:t>Data, som beskriver den service, der leverede data.</w:t>
            </w:r>
          </w:p>
          <w:p w:rsidR="003C7F5E" w:rsidRPr="00B22EF2" w:rsidRDefault="003C7F5E" w:rsidP="00B22EF2"/>
        </w:tc>
      </w:tr>
      <w:tr w:rsidR="003C7F5E" w:rsidTr="00450032">
        <w:trPr>
          <w:trHeight w:val="1965"/>
          <w:jc w:val="center"/>
        </w:trPr>
        <w:tc>
          <w:tcPr>
            <w:tcW w:w="1510" w:type="dxa"/>
          </w:tcPr>
          <w:p w:rsidR="003C7F5E" w:rsidRDefault="003C7F5E" w:rsidP="00227421">
            <w:r>
              <w:t>Eksempler</w:t>
            </w:r>
          </w:p>
        </w:tc>
        <w:tc>
          <w:tcPr>
            <w:tcW w:w="6284" w:type="dxa"/>
          </w:tcPr>
          <w:p w:rsidR="003C7F5E" w:rsidRPr="00450032" w:rsidRDefault="003C7F5E" w:rsidP="00B22EF2">
            <w:pPr>
              <w:rPr>
                <w:b/>
              </w:rPr>
            </w:pPr>
            <w:r w:rsidRPr="00450032">
              <w:rPr>
                <w:b/>
              </w:rPr>
              <w:t>Version, ejerskab, data-skema.</w:t>
            </w:r>
          </w:p>
          <w:p w:rsidR="003C7F5E" w:rsidRPr="00450032" w:rsidRDefault="003C7F5E" w:rsidP="00B22EF2">
            <w:pPr>
              <w:rPr>
                <w:b/>
              </w:rPr>
            </w:pPr>
          </w:p>
          <w:p w:rsidR="003C7F5E" w:rsidRDefault="003C7F5E" w:rsidP="00B22EF2">
            <w:r w:rsidRPr="00B22EF2">
              <w:t>Disse er statiske oplysninger, som beskriver den service, som leverede data. Sådanne data kan være interessante især i forbindelse med udvikling af de applikationer, som binder sig til servicen.</w:t>
            </w:r>
          </w:p>
          <w:p w:rsidR="003C7F5E" w:rsidRPr="00450032" w:rsidRDefault="003C7F5E" w:rsidP="00B22EF2">
            <w:pPr>
              <w:rPr>
                <w:b/>
              </w:rPr>
            </w:pPr>
          </w:p>
        </w:tc>
      </w:tr>
      <w:tr w:rsidR="003C7F5E" w:rsidTr="00450032">
        <w:trPr>
          <w:jc w:val="center"/>
        </w:trPr>
        <w:tc>
          <w:tcPr>
            <w:tcW w:w="1510" w:type="dxa"/>
          </w:tcPr>
          <w:p w:rsidR="003C7F5E" w:rsidRDefault="003C7F5E" w:rsidP="00227421">
            <w:r>
              <w:t>Grunddata</w:t>
            </w:r>
          </w:p>
        </w:tc>
        <w:tc>
          <w:tcPr>
            <w:tcW w:w="6284" w:type="dxa"/>
          </w:tcPr>
          <w:p w:rsidR="003C7F5E" w:rsidRDefault="003C7F5E" w:rsidP="00B22EF2">
            <w:r w:rsidRPr="00B22EF2">
              <w:t xml:space="preserve">Der er ingen regler gældende specielt for </w:t>
            </w:r>
            <w:proofErr w:type="spellStart"/>
            <w:r w:rsidRPr="00B22EF2">
              <w:t>grunddata</w:t>
            </w:r>
            <w:proofErr w:type="spellEnd"/>
            <w:r w:rsidRPr="00B22EF2">
              <w:t>, omhandlende denne type metadata.</w:t>
            </w:r>
          </w:p>
          <w:p w:rsidR="003C7F5E" w:rsidRPr="00B22EF2" w:rsidRDefault="003C7F5E" w:rsidP="00B22EF2"/>
        </w:tc>
      </w:tr>
      <w:tr w:rsidR="003C7F5E" w:rsidTr="00450032">
        <w:trPr>
          <w:jc w:val="center"/>
        </w:trPr>
        <w:tc>
          <w:tcPr>
            <w:tcW w:w="1510" w:type="dxa"/>
            <w:tcBorders>
              <w:top w:val="nil"/>
              <w:left w:val="nil"/>
              <w:bottom w:val="single" w:sz="4" w:space="0" w:color="auto"/>
              <w:right w:val="nil"/>
            </w:tcBorders>
          </w:tcPr>
          <w:p w:rsidR="003C7F5E" w:rsidRDefault="003C7F5E" w:rsidP="00227421">
            <w:r>
              <w:t>Service</w:t>
            </w:r>
          </w:p>
        </w:tc>
        <w:tc>
          <w:tcPr>
            <w:tcW w:w="6284" w:type="dxa"/>
            <w:tcBorders>
              <w:top w:val="nil"/>
              <w:left w:val="nil"/>
              <w:bottom w:val="single" w:sz="4" w:space="0" w:color="auto"/>
              <w:right w:val="nil"/>
            </w:tcBorders>
          </w:tcPr>
          <w:p w:rsidR="003C7F5E" w:rsidRPr="00B22EF2" w:rsidRDefault="003C7F5E" w:rsidP="00B22EF2">
            <w:r w:rsidRPr="00B22EF2">
              <w:t>Det anbefales at specificere services - både i REST og SOAP - som leverer service-metadata.</w:t>
            </w:r>
          </w:p>
        </w:tc>
      </w:tr>
    </w:tbl>
    <w:p w:rsidR="003C7F5E" w:rsidRDefault="003C7F5E" w:rsidP="00715197"/>
    <w:p w:rsidR="003C7F5E" w:rsidRDefault="003C7F5E" w:rsidP="00A44106">
      <w:pPr>
        <w:pStyle w:val="Overskrift1"/>
      </w:pPr>
      <w:r>
        <w:lastRenderedPageBreak/>
        <w:t>Sammenfatning</w:t>
      </w:r>
    </w:p>
    <w:p w:rsidR="003C7F5E" w:rsidRDefault="003C7F5E" w:rsidP="00811FE1">
      <w:r>
        <w:t>Registermyndighederne har</w:t>
      </w:r>
      <w:r w:rsidRPr="00811FE1">
        <w:t xml:space="preserve"> ansvar </w:t>
      </w:r>
      <w:r>
        <w:t xml:space="preserve">for </w:t>
      </w:r>
      <w:r w:rsidRPr="00811FE1">
        <w:t>at specificere services</w:t>
      </w:r>
      <w:r>
        <w:t xml:space="preserve"> for deres </w:t>
      </w:r>
      <w:proofErr w:type="spellStart"/>
      <w:r>
        <w:t>grunddata</w:t>
      </w:r>
      <w:proofErr w:type="spellEnd"/>
      <w:r w:rsidRPr="00811FE1">
        <w:t xml:space="preserve"> og på den måde sikre, at relevante metadata leveres i tilknytning til data.</w:t>
      </w:r>
      <w:r>
        <w:t xml:space="preserve"> </w:t>
      </w:r>
      <w:r w:rsidRPr="00811FE1">
        <w:t>Oversigt over data såvel som metadata vil på den måde blive tilgængelige på Datafordelerens metadatakatalog. Datamodeller vil ligeledes blive tilgængelige her.</w:t>
      </w:r>
    </w:p>
    <w:p w:rsidR="003C7F5E" w:rsidRDefault="003C7F5E" w:rsidP="00811FE1"/>
    <w:p w:rsidR="003C7F5E" w:rsidRDefault="003C7F5E" w:rsidP="00811FE1">
      <w:pPr>
        <w:pStyle w:val="Overskrift1"/>
      </w:pPr>
      <w:r>
        <w:t>Referencer</w:t>
      </w:r>
    </w:p>
    <w:p w:rsidR="003C7F5E" w:rsidRPr="00811FE1" w:rsidRDefault="003C7F5E" w:rsidP="00811FE1">
      <w:r w:rsidRPr="00811FE1">
        <w:t xml:space="preserve">Modelregler for </w:t>
      </w:r>
      <w:proofErr w:type="spellStart"/>
      <w:r w:rsidRPr="00811FE1">
        <w:t>grunddata</w:t>
      </w:r>
      <w:proofErr w:type="spellEnd"/>
      <w:r w:rsidRPr="00811FE1">
        <w:t>:</w:t>
      </w:r>
    </w:p>
    <w:p w:rsidR="003C7F5E" w:rsidRPr="00811FE1" w:rsidRDefault="00667FFB" w:rsidP="00811FE1">
      <w:hyperlink r:id="rId9" w:history="1">
        <w:r w:rsidR="003C7F5E" w:rsidRPr="00811FE1">
          <w:rPr>
            <w:rStyle w:val="Hyperlink"/>
          </w:rPr>
          <w:t>http://www.digst.dk/Loesninger-og-infrastruktur/Grunddata/Projekterne/Faelles-datamodel</w:t>
        </w:r>
      </w:hyperlink>
      <w:r w:rsidR="003C7F5E" w:rsidRPr="00811FE1">
        <w:t xml:space="preserve"> </w:t>
      </w:r>
    </w:p>
    <w:p w:rsidR="003C7F5E" w:rsidRPr="00811FE1" w:rsidRDefault="003C7F5E" w:rsidP="00811FE1">
      <w:r w:rsidRPr="00811FE1">
        <w:br/>
      </w:r>
    </w:p>
    <w:p w:rsidR="003C7F5E" w:rsidRPr="00811FE1" w:rsidRDefault="003C7F5E" w:rsidP="00811FE1">
      <w:r w:rsidRPr="00811FE1">
        <w:t>Krav til Datafordelerens metadatakatalog findes i udbudsdokumenter version 2.0, “Bilag 3 Leverancebeskrivelse” (se afsnit 4.4.4):</w:t>
      </w:r>
    </w:p>
    <w:p w:rsidR="003C7F5E" w:rsidRPr="00811FE1" w:rsidRDefault="00667FFB" w:rsidP="00811FE1">
      <w:hyperlink r:id="rId10" w:history="1">
        <w:r w:rsidR="003C7F5E" w:rsidRPr="00811FE1">
          <w:rPr>
            <w:rStyle w:val="Hyperlink"/>
          </w:rPr>
          <w:t>http://www.digst.dk/Loesninger-og-infrastruktur/Grunddata/Projekterne/Faelles-Datafordeler/~/media/Files/L%C3%B8sninger%20og%20infrastruktur/grunddata/Udbudsmateriale%20til%20Datafordeleren%20november%202013/Bilag%2003%20%20Leverancebeskrivelsev20.pdf</w:t>
        </w:r>
      </w:hyperlink>
    </w:p>
    <w:sectPr w:rsidR="003C7F5E" w:rsidRPr="00811FE1" w:rsidSect="00F72050">
      <w:headerReference w:type="default" r:id="rId11"/>
      <w:type w:val="continuous"/>
      <w:pgSz w:w="11907" w:h="16840" w:code="9"/>
      <w:pgMar w:top="2381" w:right="2835" w:bottom="1361" w:left="1418" w:header="23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FFB" w:rsidRDefault="00667FFB">
      <w:r>
        <w:separator/>
      </w:r>
    </w:p>
  </w:endnote>
  <w:endnote w:type="continuationSeparator" w:id="0">
    <w:p w:rsidR="00667FFB" w:rsidRDefault="0066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FFB" w:rsidRDefault="00667FFB">
      <w:r>
        <w:separator/>
      </w:r>
    </w:p>
  </w:footnote>
  <w:footnote w:type="continuationSeparator" w:id="0">
    <w:p w:rsidR="00667FFB" w:rsidRDefault="00667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F5E" w:rsidRPr="00036755" w:rsidRDefault="003C7F5E" w:rsidP="00036755">
    <w:pPr>
      <w:pStyle w:val="Sidehoved"/>
      <w:tabs>
        <w:tab w:val="clear" w:pos="4819"/>
        <w:tab w:val="clear" w:pos="9638"/>
        <w:tab w:val="left" w:pos="7881"/>
      </w:tabs>
    </w:pPr>
    <w:r>
      <w:tab/>
      <w:t xml:space="preserve">Side </w:t>
    </w:r>
    <w:r>
      <w:rPr>
        <w:rStyle w:val="Sidetal"/>
      </w:rPr>
      <w:fldChar w:fldCharType="begin"/>
    </w:r>
    <w:r>
      <w:rPr>
        <w:rStyle w:val="Sidetal"/>
      </w:rPr>
      <w:instrText xml:space="preserve"> PAGE </w:instrText>
    </w:r>
    <w:r>
      <w:rPr>
        <w:rStyle w:val="Sidetal"/>
      </w:rPr>
      <w:fldChar w:fldCharType="separate"/>
    </w:r>
    <w:r w:rsidR="00F337D7">
      <w:rPr>
        <w:rStyle w:val="Sidetal"/>
        <w:noProof/>
      </w:rPr>
      <w:t>5</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F337D7">
      <w:rPr>
        <w:rStyle w:val="Sidetal"/>
        <w:noProof/>
      </w:rPr>
      <w:t>5</w:t>
    </w:r>
    <w:r>
      <w:rPr>
        <w:rStyle w:val="Sideta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63A5"/>
    <w:rsid w:val="00003923"/>
    <w:rsid w:val="00036755"/>
    <w:rsid w:val="00057203"/>
    <w:rsid w:val="00071FA2"/>
    <w:rsid w:val="00083A6D"/>
    <w:rsid w:val="000A2C64"/>
    <w:rsid w:val="000B5899"/>
    <w:rsid w:val="000C2AFF"/>
    <w:rsid w:val="000D0680"/>
    <w:rsid w:val="000D481A"/>
    <w:rsid w:val="000D5E34"/>
    <w:rsid w:val="000F4045"/>
    <w:rsid w:val="00110B7B"/>
    <w:rsid w:val="00111DF8"/>
    <w:rsid w:val="001128CF"/>
    <w:rsid w:val="00112C20"/>
    <w:rsid w:val="00116C36"/>
    <w:rsid w:val="001221C9"/>
    <w:rsid w:val="001278E2"/>
    <w:rsid w:val="00146180"/>
    <w:rsid w:val="00146DE0"/>
    <w:rsid w:val="00153F2E"/>
    <w:rsid w:val="0015490E"/>
    <w:rsid w:val="00155BA4"/>
    <w:rsid w:val="00170F8E"/>
    <w:rsid w:val="0017108E"/>
    <w:rsid w:val="001842DC"/>
    <w:rsid w:val="00185155"/>
    <w:rsid w:val="001A03FB"/>
    <w:rsid w:val="001A1553"/>
    <w:rsid w:val="001A6523"/>
    <w:rsid w:val="001B2B7B"/>
    <w:rsid w:val="001E03CF"/>
    <w:rsid w:val="001E2415"/>
    <w:rsid w:val="001F2C84"/>
    <w:rsid w:val="001F679E"/>
    <w:rsid w:val="00203EEE"/>
    <w:rsid w:val="00214152"/>
    <w:rsid w:val="00221CA3"/>
    <w:rsid w:val="00226E27"/>
    <w:rsid w:val="00227421"/>
    <w:rsid w:val="002321B4"/>
    <w:rsid w:val="002453D4"/>
    <w:rsid w:val="002A5BA0"/>
    <w:rsid w:val="002A786E"/>
    <w:rsid w:val="002D3946"/>
    <w:rsid w:val="002E4DE5"/>
    <w:rsid w:val="0032081F"/>
    <w:rsid w:val="00341E7C"/>
    <w:rsid w:val="00361219"/>
    <w:rsid w:val="0037071B"/>
    <w:rsid w:val="00382601"/>
    <w:rsid w:val="00394026"/>
    <w:rsid w:val="003C265A"/>
    <w:rsid w:val="003C7A67"/>
    <w:rsid w:val="003C7D25"/>
    <w:rsid w:val="003C7F5E"/>
    <w:rsid w:val="003E59BC"/>
    <w:rsid w:val="00414F0A"/>
    <w:rsid w:val="00450032"/>
    <w:rsid w:val="004632B7"/>
    <w:rsid w:val="00472B2B"/>
    <w:rsid w:val="00474208"/>
    <w:rsid w:val="004A1374"/>
    <w:rsid w:val="004E4A34"/>
    <w:rsid w:val="004F0346"/>
    <w:rsid w:val="00514B31"/>
    <w:rsid w:val="00517A1D"/>
    <w:rsid w:val="00534DE9"/>
    <w:rsid w:val="00537AD3"/>
    <w:rsid w:val="005514A0"/>
    <w:rsid w:val="00552DDD"/>
    <w:rsid w:val="0055520A"/>
    <w:rsid w:val="00561D03"/>
    <w:rsid w:val="005660AE"/>
    <w:rsid w:val="0057172A"/>
    <w:rsid w:val="005809D5"/>
    <w:rsid w:val="0058266B"/>
    <w:rsid w:val="00587C64"/>
    <w:rsid w:val="005A65B1"/>
    <w:rsid w:val="005B1ADB"/>
    <w:rsid w:val="005D0F88"/>
    <w:rsid w:val="005D2F46"/>
    <w:rsid w:val="005D3A35"/>
    <w:rsid w:val="005E37CE"/>
    <w:rsid w:val="005E55FA"/>
    <w:rsid w:val="005F4961"/>
    <w:rsid w:val="005F7B3C"/>
    <w:rsid w:val="00605EC9"/>
    <w:rsid w:val="0061260E"/>
    <w:rsid w:val="00630687"/>
    <w:rsid w:val="00635ACA"/>
    <w:rsid w:val="00637049"/>
    <w:rsid w:val="00643A10"/>
    <w:rsid w:val="00660DCB"/>
    <w:rsid w:val="006656F7"/>
    <w:rsid w:val="00665E01"/>
    <w:rsid w:val="00667FFB"/>
    <w:rsid w:val="00680DCB"/>
    <w:rsid w:val="006815A0"/>
    <w:rsid w:val="006B4C8D"/>
    <w:rsid w:val="006B688F"/>
    <w:rsid w:val="006C419D"/>
    <w:rsid w:val="006D2648"/>
    <w:rsid w:val="006E1A7D"/>
    <w:rsid w:val="00715197"/>
    <w:rsid w:val="00734B09"/>
    <w:rsid w:val="00737944"/>
    <w:rsid w:val="00747868"/>
    <w:rsid w:val="0075172C"/>
    <w:rsid w:val="00753F62"/>
    <w:rsid w:val="007A716F"/>
    <w:rsid w:val="007B6AFA"/>
    <w:rsid w:val="007C520D"/>
    <w:rsid w:val="007D0682"/>
    <w:rsid w:val="007D25EE"/>
    <w:rsid w:val="007F75CE"/>
    <w:rsid w:val="00811FE1"/>
    <w:rsid w:val="0081508C"/>
    <w:rsid w:val="00822148"/>
    <w:rsid w:val="00836B2A"/>
    <w:rsid w:val="00867B96"/>
    <w:rsid w:val="00883240"/>
    <w:rsid w:val="00887F2E"/>
    <w:rsid w:val="00887FD2"/>
    <w:rsid w:val="008D26C7"/>
    <w:rsid w:val="008E4147"/>
    <w:rsid w:val="008F416C"/>
    <w:rsid w:val="008F4C37"/>
    <w:rsid w:val="009163C1"/>
    <w:rsid w:val="0092408C"/>
    <w:rsid w:val="009272C3"/>
    <w:rsid w:val="009367C6"/>
    <w:rsid w:val="00973E34"/>
    <w:rsid w:val="009831DD"/>
    <w:rsid w:val="00995A23"/>
    <w:rsid w:val="009978E9"/>
    <w:rsid w:val="00997F2A"/>
    <w:rsid w:val="009A36C0"/>
    <w:rsid w:val="009A52A0"/>
    <w:rsid w:val="009A7B57"/>
    <w:rsid w:val="009B26B9"/>
    <w:rsid w:val="009B467B"/>
    <w:rsid w:val="009C6735"/>
    <w:rsid w:val="009D5EEC"/>
    <w:rsid w:val="009D63BA"/>
    <w:rsid w:val="009E5557"/>
    <w:rsid w:val="009E6F46"/>
    <w:rsid w:val="009F285C"/>
    <w:rsid w:val="00A000F6"/>
    <w:rsid w:val="00A01E57"/>
    <w:rsid w:val="00A21B61"/>
    <w:rsid w:val="00A23E8A"/>
    <w:rsid w:val="00A2585A"/>
    <w:rsid w:val="00A40E5E"/>
    <w:rsid w:val="00A44106"/>
    <w:rsid w:val="00A4650E"/>
    <w:rsid w:val="00A478C1"/>
    <w:rsid w:val="00A6202E"/>
    <w:rsid w:val="00A62D36"/>
    <w:rsid w:val="00A66613"/>
    <w:rsid w:val="00A67DFB"/>
    <w:rsid w:val="00A74F79"/>
    <w:rsid w:val="00A90C3C"/>
    <w:rsid w:val="00AA25A0"/>
    <w:rsid w:val="00AC2B4A"/>
    <w:rsid w:val="00AC69BF"/>
    <w:rsid w:val="00AD33A6"/>
    <w:rsid w:val="00AD6BD1"/>
    <w:rsid w:val="00B10D11"/>
    <w:rsid w:val="00B145FC"/>
    <w:rsid w:val="00B22EF2"/>
    <w:rsid w:val="00B24060"/>
    <w:rsid w:val="00B2779E"/>
    <w:rsid w:val="00B315A0"/>
    <w:rsid w:val="00B33F79"/>
    <w:rsid w:val="00B37A88"/>
    <w:rsid w:val="00B529DE"/>
    <w:rsid w:val="00B67DCD"/>
    <w:rsid w:val="00B76C46"/>
    <w:rsid w:val="00B76FC2"/>
    <w:rsid w:val="00B8473B"/>
    <w:rsid w:val="00B85ECC"/>
    <w:rsid w:val="00BA1559"/>
    <w:rsid w:val="00BA5575"/>
    <w:rsid w:val="00BD45B6"/>
    <w:rsid w:val="00C366C9"/>
    <w:rsid w:val="00C371BF"/>
    <w:rsid w:val="00C537E7"/>
    <w:rsid w:val="00C55406"/>
    <w:rsid w:val="00C8202A"/>
    <w:rsid w:val="00CA71E4"/>
    <w:rsid w:val="00CB5D6F"/>
    <w:rsid w:val="00CC2ECB"/>
    <w:rsid w:val="00CC3D94"/>
    <w:rsid w:val="00CD40A9"/>
    <w:rsid w:val="00D07388"/>
    <w:rsid w:val="00D20B72"/>
    <w:rsid w:val="00D2297E"/>
    <w:rsid w:val="00D24C37"/>
    <w:rsid w:val="00D43953"/>
    <w:rsid w:val="00D46CD3"/>
    <w:rsid w:val="00D519D8"/>
    <w:rsid w:val="00D52115"/>
    <w:rsid w:val="00D576AB"/>
    <w:rsid w:val="00D64D8F"/>
    <w:rsid w:val="00D65850"/>
    <w:rsid w:val="00D77D59"/>
    <w:rsid w:val="00D85757"/>
    <w:rsid w:val="00D91AAE"/>
    <w:rsid w:val="00D92E13"/>
    <w:rsid w:val="00D93204"/>
    <w:rsid w:val="00DC7AD5"/>
    <w:rsid w:val="00DD77A3"/>
    <w:rsid w:val="00DE03E7"/>
    <w:rsid w:val="00DE1212"/>
    <w:rsid w:val="00DF070E"/>
    <w:rsid w:val="00DF3B69"/>
    <w:rsid w:val="00DF411A"/>
    <w:rsid w:val="00E04F65"/>
    <w:rsid w:val="00E10A43"/>
    <w:rsid w:val="00E1383B"/>
    <w:rsid w:val="00E152C4"/>
    <w:rsid w:val="00E26BBF"/>
    <w:rsid w:val="00E27713"/>
    <w:rsid w:val="00E334B8"/>
    <w:rsid w:val="00E467F8"/>
    <w:rsid w:val="00E563A5"/>
    <w:rsid w:val="00E8043E"/>
    <w:rsid w:val="00E8460E"/>
    <w:rsid w:val="00E934D0"/>
    <w:rsid w:val="00EC779C"/>
    <w:rsid w:val="00ED31B8"/>
    <w:rsid w:val="00EE4980"/>
    <w:rsid w:val="00EF3CBA"/>
    <w:rsid w:val="00F021CD"/>
    <w:rsid w:val="00F254B0"/>
    <w:rsid w:val="00F2621B"/>
    <w:rsid w:val="00F27227"/>
    <w:rsid w:val="00F337D7"/>
    <w:rsid w:val="00F358B9"/>
    <w:rsid w:val="00F42A40"/>
    <w:rsid w:val="00F6633C"/>
    <w:rsid w:val="00F72050"/>
    <w:rsid w:val="00F723AD"/>
    <w:rsid w:val="00F74E86"/>
    <w:rsid w:val="00F82FB9"/>
    <w:rsid w:val="00F877BA"/>
    <w:rsid w:val="00F93E89"/>
    <w:rsid w:val="00F97776"/>
    <w:rsid w:val="00FA2D7B"/>
    <w:rsid w:val="00FB2080"/>
    <w:rsid w:val="00FB494E"/>
    <w:rsid w:val="00FB696C"/>
    <w:rsid w:val="00FE4689"/>
    <w:rsid w:val="00FF3198"/>
    <w:rsid w:val="00FF37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81F"/>
    <w:pPr>
      <w:spacing w:line="280" w:lineRule="atLeast"/>
    </w:pPr>
    <w:rPr>
      <w:rFonts w:ascii="Garamond" w:hAnsi="Garamond"/>
      <w:sz w:val="24"/>
      <w:szCs w:val="24"/>
      <w:lang w:eastAsia="en-US"/>
    </w:rPr>
  </w:style>
  <w:style w:type="paragraph" w:styleId="Overskrift1">
    <w:name w:val="heading 1"/>
    <w:basedOn w:val="Normal"/>
    <w:next w:val="Normal"/>
    <w:link w:val="Overskrift1Tegn"/>
    <w:uiPriority w:val="99"/>
    <w:qFormat/>
    <w:rsid w:val="009C6735"/>
    <w:pPr>
      <w:keepNext/>
      <w:spacing w:before="280" w:after="280"/>
      <w:outlineLvl w:val="0"/>
    </w:pPr>
    <w:rPr>
      <w:rFonts w:ascii="Arial" w:hAnsi="Arial" w:cs="Arial"/>
      <w:bCs/>
      <w:kern w:val="28"/>
      <w:sz w:val="26"/>
      <w:szCs w:val="32"/>
    </w:rPr>
  </w:style>
  <w:style w:type="paragraph" w:styleId="Overskrift2">
    <w:name w:val="heading 2"/>
    <w:basedOn w:val="Normal"/>
    <w:next w:val="Normal"/>
    <w:link w:val="Overskrift2Tegn"/>
    <w:uiPriority w:val="99"/>
    <w:qFormat/>
    <w:rsid w:val="009C6735"/>
    <w:pPr>
      <w:keepNext/>
      <w:spacing w:before="280"/>
      <w:outlineLvl w:val="1"/>
    </w:pPr>
    <w:rPr>
      <w:rFonts w:ascii="Arial" w:hAnsi="Arial" w:cs="Arial"/>
      <w:b/>
      <w:bCs/>
      <w:iCs/>
      <w:kern w:val="28"/>
      <w:sz w:val="20"/>
      <w:szCs w:val="28"/>
    </w:rPr>
  </w:style>
  <w:style w:type="paragraph" w:styleId="Overskrift3">
    <w:name w:val="heading 3"/>
    <w:basedOn w:val="Normal"/>
    <w:next w:val="Normal"/>
    <w:link w:val="Overskrift3Tegn"/>
    <w:uiPriority w:val="99"/>
    <w:qFormat/>
    <w:rsid w:val="009C6735"/>
    <w:pPr>
      <w:keepNext/>
      <w:spacing w:before="280"/>
      <w:outlineLvl w:val="2"/>
    </w:pPr>
    <w:rPr>
      <w:rFonts w:cs="Arial"/>
      <w:bCs/>
      <w:i/>
      <w:kern w:val="28"/>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9"/>
    <w:locked/>
    <w:rsid w:val="00110B7B"/>
    <w:rPr>
      <w:rFonts w:ascii="Cambria" w:hAnsi="Cambria" w:cs="Times New Roman"/>
      <w:b/>
      <w:bCs/>
      <w:kern w:val="32"/>
      <w:sz w:val="32"/>
      <w:szCs w:val="32"/>
      <w:lang w:eastAsia="en-US"/>
    </w:rPr>
  </w:style>
  <w:style w:type="character" w:customStyle="1" w:styleId="Overskrift2Tegn">
    <w:name w:val="Overskrift 2 Tegn"/>
    <w:link w:val="Overskrift2"/>
    <w:uiPriority w:val="99"/>
    <w:semiHidden/>
    <w:locked/>
    <w:rsid w:val="00110B7B"/>
    <w:rPr>
      <w:rFonts w:ascii="Cambria" w:hAnsi="Cambria" w:cs="Times New Roman"/>
      <w:b/>
      <w:bCs/>
      <w:i/>
      <w:iCs/>
      <w:sz w:val="28"/>
      <w:szCs w:val="28"/>
      <w:lang w:eastAsia="en-US"/>
    </w:rPr>
  </w:style>
  <w:style w:type="character" w:customStyle="1" w:styleId="Overskrift3Tegn">
    <w:name w:val="Overskrift 3 Tegn"/>
    <w:link w:val="Overskrift3"/>
    <w:uiPriority w:val="99"/>
    <w:semiHidden/>
    <w:locked/>
    <w:rsid w:val="00110B7B"/>
    <w:rPr>
      <w:rFonts w:ascii="Cambria" w:hAnsi="Cambria" w:cs="Times New Roman"/>
      <w:b/>
      <w:bCs/>
      <w:sz w:val="26"/>
      <w:szCs w:val="26"/>
      <w:lang w:eastAsia="en-US"/>
    </w:rPr>
  </w:style>
  <w:style w:type="paragraph" w:styleId="Sidehoved">
    <w:name w:val="header"/>
    <w:basedOn w:val="Normal"/>
    <w:link w:val="SidehovedTegn"/>
    <w:uiPriority w:val="99"/>
    <w:rsid w:val="0032081F"/>
    <w:pPr>
      <w:tabs>
        <w:tab w:val="center" w:pos="4819"/>
        <w:tab w:val="right" w:pos="9638"/>
      </w:tabs>
    </w:pPr>
  </w:style>
  <w:style w:type="character" w:customStyle="1" w:styleId="SidehovedTegn">
    <w:name w:val="Sidehoved Tegn"/>
    <w:link w:val="Sidehoved"/>
    <w:uiPriority w:val="99"/>
    <w:semiHidden/>
    <w:locked/>
    <w:rsid w:val="00110B7B"/>
    <w:rPr>
      <w:rFonts w:ascii="Garamond" w:hAnsi="Garamond" w:cs="Times New Roman"/>
      <w:sz w:val="24"/>
      <w:szCs w:val="24"/>
      <w:lang w:eastAsia="en-US"/>
    </w:rPr>
  </w:style>
  <w:style w:type="paragraph" w:styleId="Sidefod">
    <w:name w:val="footer"/>
    <w:basedOn w:val="Normal"/>
    <w:link w:val="SidefodTegn"/>
    <w:uiPriority w:val="99"/>
    <w:rsid w:val="0032081F"/>
    <w:pPr>
      <w:tabs>
        <w:tab w:val="center" w:pos="4819"/>
        <w:tab w:val="right" w:pos="9638"/>
      </w:tabs>
    </w:pPr>
  </w:style>
  <w:style w:type="character" w:customStyle="1" w:styleId="SidefodTegn">
    <w:name w:val="Sidefod Tegn"/>
    <w:link w:val="Sidefod"/>
    <w:uiPriority w:val="99"/>
    <w:semiHidden/>
    <w:locked/>
    <w:rsid w:val="00110B7B"/>
    <w:rPr>
      <w:rFonts w:ascii="Garamond" w:hAnsi="Garamond" w:cs="Times New Roman"/>
      <w:sz w:val="24"/>
      <w:szCs w:val="24"/>
      <w:lang w:eastAsia="en-US"/>
    </w:rPr>
  </w:style>
  <w:style w:type="table" w:styleId="Tabel-Gitter">
    <w:name w:val="Table Grid"/>
    <w:basedOn w:val="Tabel-Normal"/>
    <w:uiPriority w:val="99"/>
    <w:rsid w:val="001B2B7B"/>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etal">
    <w:name w:val="page number"/>
    <w:uiPriority w:val="99"/>
    <w:rsid w:val="00036755"/>
    <w:rPr>
      <w:rFonts w:cs="Times New Roman"/>
    </w:rPr>
  </w:style>
  <w:style w:type="paragraph" w:customStyle="1" w:styleId="DokTitel">
    <w:name w:val="DokTitel"/>
    <w:basedOn w:val="Normal"/>
    <w:next w:val="Normal"/>
    <w:uiPriority w:val="99"/>
    <w:rsid w:val="003C7A67"/>
    <w:pPr>
      <w:spacing w:line="400" w:lineRule="exact"/>
    </w:pPr>
    <w:rPr>
      <w:rFonts w:ascii="Arial" w:hAnsi="Arial" w:cs="Arial"/>
      <w:sz w:val="40"/>
      <w:szCs w:val="40"/>
    </w:rPr>
  </w:style>
  <w:style w:type="table" w:customStyle="1" w:styleId="OESNotat">
    <w:name w:val="OESNotat"/>
    <w:uiPriority w:val="99"/>
    <w:rsid w:val="00E1383B"/>
    <w:rPr>
      <w:rFonts w:ascii="Garamond" w:hAnsi="Garamond"/>
      <w:sz w:val="24"/>
    </w:rPr>
    <w:tblPr>
      <w:jc w:val="center"/>
      <w:tblInd w:w="0" w:type="dxa"/>
      <w:tblCellMar>
        <w:top w:w="0" w:type="dxa"/>
        <w:left w:w="0" w:type="dxa"/>
        <w:bottom w:w="0" w:type="dxa"/>
        <w:right w:w="170" w:type="dxa"/>
      </w:tblCellMar>
    </w:tblPr>
    <w:trPr>
      <w:jc w:val="center"/>
    </w:trPr>
  </w:style>
  <w:style w:type="paragraph" w:customStyle="1" w:styleId="TabelAnmaerkning">
    <w:name w:val="TabelAnmaerkning"/>
    <w:basedOn w:val="Normal"/>
    <w:uiPriority w:val="99"/>
    <w:rsid w:val="00605EC9"/>
    <w:pPr>
      <w:ind w:left="567" w:hanging="567"/>
    </w:pPr>
    <w:rPr>
      <w:sz w:val="20"/>
      <w:szCs w:val="20"/>
      <w:lang w:eastAsia="da-DK"/>
    </w:rPr>
  </w:style>
  <w:style w:type="paragraph" w:customStyle="1" w:styleId="Tabeloverskrift">
    <w:name w:val="Tabeloverskrift"/>
    <w:basedOn w:val="Normal"/>
    <w:uiPriority w:val="99"/>
    <w:rsid w:val="007A716F"/>
    <w:rPr>
      <w:rFonts w:ascii="Arial" w:hAnsi="Arial"/>
      <w:b/>
      <w:sz w:val="18"/>
      <w:lang w:val="en-GB" w:eastAsia="da-DK"/>
    </w:rPr>
  </w:style>
  <w:style w:type="paragraph" w:customStyle="1" w:styleId="Tabeloverskrift2">
    <w:name w:val="Tabeloverskrift2"/>
    <w:basedOn w:val="Normal"/>
    <w:uiPriority w:val="99"/>
    <w:rsid w:val="007A716F"/>
    <w:pPr>
      <w:spacing w:line="240" w:lineRule="auto"/>
    </w:pPr>
    <w:rPr>
      <w:b/>
      <w:noProof/>
      <w:sz w:val="20"/>
      <w:lang w:eastAsia="da-DK"/>
    </w:rPr>
  </w:style>
  <w:style w:type="paragraph" w:customStyle="1" w:styleId="TabelTal">
    <w:name w:val="TabelTal"/>
    <w:basedOn w:val="Normal"/>
    <w:uiPriority w:val="99"/>
    <w:rsid w:val="007A716F"/>
    <w:rPr>
      <w:sz w:val="20"/>
      <w:lang w:val="en-GB" w:eastAsia="da-DK"/>
    </w:rPr>
  </w:style>
  <w:style w:type="paragraph" w:customStyle="1" w:styleId="Tabeltekst">
    <w:name w:val="Tabeltekst"/>
    <w:basedOn w:val="Tabeloverskrift"/>
    <w:uiPriority w:val="99"/>
    <w:rsid w:val="007A716F"/>
    <w:rPr>
      <w:rFonts w:ascii="Garamond" w:hAnsi="Garamond"/>
      <w:b w:val="0"/>
      <w:sz w:val="20"/>
    </w:rPr>
  </w:style>
  <w:style w:type="paragraph" w:customStyle="1" w:styleId="TabelTalOverskrift">
    <w:name w:val="TabelTalOverskrift"/>
    <w:basedOn w:val="TabelTal"/>
    <w:uiPriority w:val="99"/>
    <w:rsid w:val="007A716F"/>
    <w:rPr>
      <w:b/>
      <w:noProof/>
      <w:lang w:val="da-DK"/>
    </w:rPr>
  </w:style>
  <w:style w:type="paragraph" w:styleId="NormalWeb">
    <w:name w:val="Normal (Web)"/>
    <w:basedOn w:val="Normal"/>
    <w:uiPriority w:val="99"/>
    <w:rsid w:val="00715197"/>
    <w:pPr>
      <w:spacing w:before="100" w:beforeAutospacing="1" w:after="100" w:afterAutospacing="1" w:line="240" w:lineRule="auto"/>
    </w:pPr>
    <w:rPr>
      <w:rFonts w:ascii="Times New Roman" w:hAnsi="Times New Roman"/>
      <w:lang w:eastAsia="da-DK"/>
    </w:rPr>
  </w:style>
  <w:style w:type="character" w:styleId="Hyperlink">
    <w:name w:val="Hyperlink"/>
    <w:uiPriority w:val="99"/>
    <w:rsid w:val="00B22EF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370973">
      <w:marLeft w:val="0"/>
      <w:marRight w:val="0"/>
      <w:marTop w:val="0"/>
      <w:marBottom w:val="0"/>
      <w:divBdr>
        <w:top w:val="none" w:sz="0" w:space="0" w:color="auto"/>
        <w:left w:val="none" w:sz="0" w:space="0" w:color="auto"/>
        <w:bottom w:val="none" w:sz="0" w:space="0" w:color="auto"/>
        <w:right w:val="none" w:sz="0" w:space="0" w:color="auto"/>
      </w:divBdr>
    </w:div>
    <w:div w:id="829370974">
      <w:marLeft w:val="0"/>
      <w:marRight w:val="0"/>
      <w:marTop w:val="0"/>
      <w:marBottom w:val="0"/>
      <w:divBdr>
        <w:top w:val="none" w:sz="0" w:space="0" w:color="auto"/>
        <w:left w:val="none" w:sz="0" w:space="0" w:color="auto"/>
        <w:bottom w:val="none" w:sz="0" w:space="0" w:color="auto"/>
        <w:right w:val="none" w:sz="0" w:space="0" w:color="auto"/>
      </w:divBdr>
    </w:div>
    <w:div w:id="829370975">
      <w:marLeft w:val="0"/>
      <w:marRight w:val="0"/>
      <w:marTop w:val="0"/>
      <w:marBottom w:val="0"/>
      <w:divBdr>
        <w:top w:val="none" w:sz="0" w:space="0" w:color="auto"/>
        <w:left w:val="none" w:sz="0" w:space="0" w:color="auto"/>
        <w:bottom w:val="none" w:sz="0" w:space="0" w:color="auto"/>
        <w:right w:val="none" w:sz="0" w:space="0" w:color="auto"/>
      </w:divBdr>
    </w:div>
    <w:div w:id="829370976">
      <w:marLeft w:val="0"/>
      <w:marRight w:val="0"/>
      <w:marTop w:val="0"/>
      <w:marBottom w:val="0"/>
      <w:divBdr>
        <w:top w:val="none" w:sz="0" w:space="0" w:color="auto"/>
        <w:left w:val="none" w:sz="0" w:space="0" w:color="auto"/>
        <w:bottom w:val="none" w:sz="0" w:space="0" w:color="auto"/>
        <w:right w:val="none" w:sz="0" w:space="0" w:color="auto"/>
      </w:divBdr>
    </w:div>
    <w:div w:id="829370978">
      <w:marLeft w:val="0"/>
      <w:marRight w:val="0"/>
      <w:marTop w:val="0"/>
      <w:marBottom w:val="0"/>
      <w:divBdr>
        <w:top w:val="none" w:sz="0" w:space="0" w:color="auto"/>
        <w:left w:val="none" w:sz="0" w:space="0" w:color="auto"/>
        <w:bottom w:val="none" w:sz="0" w:space="0" w:color="auto"/>
        <w:right w:val="none" w:sz="0" w:space="0" w:color="auto"/>
      </w:divBdr>
    </w:div>
    <w:div w:id="829370979">
      <w:marLeft w:val="0"/>
      <w:marRight w:val="0"/>
      <w:marTop w:val="0"/>
      <w:marBottom w:val="0"/>
      <w:divBdr>
        <w:top w:val="none" w:sz="0" w:space="0" w:color="auto"/>
        <w:left w:val="none" w:sz="0" w:space="0" w:color="auto"/>
        <w:bottom w:val="none" w:sz="0" w:space="0" w:color="auto"/>
        <w:right w:val="none" w:sz="0" w:space="0" w:color="auto"/>
      </w:divBdr>
    </w:div>
    <w:div w:id="829370980">
      <w:marLeft w:val="0"/>
      <w:marRight w:val="0"/>
      <w:marTop w:val="0"/>
      <w:marBottom w:val="0"/>
      <w:divBdr>
        <w:top w:val="none" w:sz="0" w:space="0" w:color="auto"/>
        <w:left w:val="none" w:sz="0" w:space="0" w:color="auto"/>
        <w:bottom w:val="none" w:sz="0" w:space="0" w:color="auto"/>
        <w:right w:val="none" w:sz="0" w:space="0" w:color="auto"/>
      </w:divBdr>
    </w:div>
    <w:div w:id="829370981">
      <w:marLeft w:val="0"/>
      <w:marRight w:val="0"/>
      <w:marTop w:val="0"/>
      <w:marBottom w:val="0"/>
      <w:divBdr>
        <w:top w:val="none" w:sz="0" w:space="0" w:color="auto"/>
        <w:left w:val="none" w:sz="0" w:space="0" w:color="auto"/>
        <w:bottom w:val="none" w:sz="0" w:space="0" w:color="auto"/>
        <w:right w:val="none" w:sz="0" w:space="0" w:color="auto"/>
      </w:divBdr>
    </w:div>
    <w:div w:id="829370982">
      <w:marLeft w:val="0"/>
      <w:marRight w:val="0"/>
      <w:marTop w:val="0"/>
      <w:marBottom w:val="0"/>
      <w:divBdr>
        <w:top w:val="none" w:sz="0" w:space="0" w:color="auto"/>
        <w:left w:val="none" w:sz="0" w:space="0" w:color="auto"/>
        <w:bottom w:val="none" w:sz="0" w:space="0" w:color="auto"/>
        <w:right w:val="none" w:sz="0" w:space="0" w:color="auto"/>
      </w:divBdr>
    </w:div>
    <w:div w:id="829370983">
      <w:marLeft w:val="0"/>
      <w:marRight w:val="0"/>
      <w:marTop w:val="0"/>
      <w:marBottom w:val="0"/>
      <w:divBdr>
        <w:top w:val="none" w:sz="0" w:space="0" w:color="auto"/>
        <w:left w:val="none" w:sz="0" w:space="0" w:color="auto"/>
        <w:bottom w:val="none" w:sz="0" w:space="0" w:color="auto"/>
        <w:right w:val="none" w:sz="0" w:space="0" w:color="auto"/>
      </w:divBdr>
    </w:div>
    <w:div w:id="829370984">
      <w:marLeft w:val="0"/>
      <w:marRight w:val="0"/>
      <w:marTop w:val="0"/>
      <w:marBottom w:val="0"/>
      <w:divBdr>
        <w:top w:val="none" w:sz="0" w:space="0" w:color="auto"/>
        <w:left w:val="none" w:sz="0" w:space="0" w:color="auto"/>
        <w:bottom w:val="none" w:sz="0" w:space="0" w:color="auto"/>
        <w:right w:val="none" w:sz="0" w:space="0" w:color="auto"/>
      </w:divBdr>
      <w:divsChild>
        <w:div w:id="829370977">
          <w:marLeft w:val="0"/>
          <w:marRight w:val="0"/>
          <w:marTop w:val="0"/>
          <w:marBottom w:val="0"/>
          <w:divBdr>
            <w:top w:val="none" w:sz="0" w:space="0" w:color="auto"/>
            <w:left w:val="none" w:sz="0" w:space="0" w:color="auto"/>
            <w:bottom w:val="none" w:sz="0" w:space="0" w:color="auto"/>
            <w:right w:val="none" w:sz="0" w:space="0" w:color="auto"/>
          </w:divBdr>
        </w:div>
      </w:divsChild>
    </w:div>
    <w:div w:id="829370985">
      <w:marLeft w:val="0"/>
      <w:marRight w:val="0"/>
      <w:marTop w:val="0"/>
      <w:marBottom w:val="0"/>
      <w:divBdr>
        <w:top w:val="none" w:sz="0" w:space="0" w:color="auto"/>
        <w:left w:val="none" w:sz="0" w:space="0" w:color="auto"/>
        <w:bottom w:val="none" w:sz="0" w:space="0" w:color="auto"/>
        <w:right w:val="none" w:sz="0" w:space="0" w:color="auto"/>
      </w:divBdr>
    </w:div>
    <w:div w:id="8293709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i.digitaliser.dk/rest/group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igst.dk/Loesninger-og-infrastruktur/Grunddata/Projekterne/Faelles-Datafordeler/~/media/Files/L%C3%B8sninger%20og%20infrastruktur/grunddata/Udbudsmateriale%20til%20Datafordeleren%20november%202013/Bilag%2003%20%20Leverancebeskrivelsev20.pdf" TargetMode="External"/><Relationship Id="rId4" Type="http://schemas.openxmlformats.org/officeDocument/2006/relationships/webSettings" Target="webSettings.xml"/><Relationship Id="rId9" Type="http://schemas.openxmlformats.org/officeDocument/2006/relationships/hyperlink" Target="http://www.digst.dk/Loesninger-og-infrastruktur/Grunddata/Projekterne/Faelles-datamode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Skabeloner\DIGST_Internt%20Not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DIGST_Internt Notat.dot</Template>
  <TotalTime>128</TotalTime>
  <Pages>5</Pages>
  <Words>1168</Words>
  <Characters>7127</Characters>
  <Application>Microsoft Office Word</Application>
  <DocSecurity>0</DocSecurity>
  <Lines>59</Lines>
  <Paragraphs>16</Paragraphs>
  <ScaleCrop>false</ScaleCrop>
  <Company>Økonomistyrelsen</Company>
  <LinksUpToDate>false</LinksUpToDate>
  <CharactersWithSpaces>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 Dreier Schäfer</dc:creator>
  <cp:keywords/>
  <dc:description/>
  <cp:lastModifiedBy>Tanja Haagh Jensen</cp:lastModifiedBy>
  <cp:revision>18</cp:revision>
  <cp:lastPrinted>2013-12-05T12:29:00Z</cp:lastPrinted>
  <dcterms:created xsi:type="dcterms:W3CDTF">2013-12-05T10:31:00Z</dcterms:created>
  <dcterms:modified xsi:type="dcterms:W3CDTF">2014-06-17T07:13:00Z</dcterms:modified>
</cp:coreProperties>
</file>